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C068" w14:textId="77777777" w:rsidR="00D2245F" w:rsidRDefault="00D2245F" w:rsidP="00D2245F">
      <w:pPr>
        <w:jc w:val="right"/>
        <w:rPr>
          <w:sz w:val="26"/>
        </w:rPr>
      </w:pPr>
      <w:r>
        <w:rPr>
          <w:sz w:val="26"/>
        </w:rPr>
        <w:t>SPETT.LE</w:t>
      </w:r>
    </w:p>
    <w:p w14:paraId="234C41AE" w14:textId="77777777" w:rsidR="00D2245F" w:rsidRDefault="00D2245F" w:rsidP="00D2245F">
      <w:pPr>
        <w:pStyle w:val="Titolo2"/>
        <w:rPr>
          <w:sz w:val="26"/>
        </w:rPr>
      </w:pPr>
      <w:r>
        <w:rPr>
          <w:sz w:val="26"/>
        </w:rPr>
        <w:t>ANACI PROVINCIA DI BOLOGNA</w:t>
      </w:r>
    </w:p>
    <w:p w14:paraId="3F807944" w14:textId="77777777" w:rsidR="00D2245F" w:rsidRDefault="00D2245F" w:rsidP="00D2245F">
      <w:pPr>
        <w:pStyle w:val="Titolo2"/>
        <w:rPr>
          <w:sz w:val="26"/>
        </w:rPr>
      </w:pPr>
      <w:r>
        <w:rPr>
          <w:sz w:val="26"/>
        </w:rPr>
        <w:t>ANACI REGIONE EMILIA ROMAGNA</w:t>
      </w:r>
    </w:p>
    <w:p w14:paraId="3EB9035D" w14:textId="77777777" w:rsidR="00DA44FA" w:rsidRDefault="00DA44FA" w:rsidP="00D2245F">
      <w:pPr>
        <w:rPr>
          <w:sz w:val="26"/>
        </w:rPr>
      </w:pPr>
    </w:p>
    <w:p w14:paraId="5AC2E292" w14:textId="13845057" w:rsidR="00D2245F" w:rsidRPr="00DE28BB" w:rsidRDefault="00D2245F" w:rsidP="00D2245F">
      <w:pPr>
        <w:rPr>
          <w:sz w:val="24"/>
          <w:szCs w:val="24"/>
        </w:rPr>
      </w:pPr>
      <w:r w:rsidRPr="00DE28BB">
        <w:rPr>
          <w:sz w:val="24"/>
          <w:szCs w:val="24"/>
        </w:rPr>
        <w:t xml:space="preserve">Bologna, </w:t>
      </w:r>
      <w:r w:rsidR="00CA0746">
        <w:rPr>
          <w:sz w:val="24"/>
          <w:szCs w:val="24"/>
        </w:rPr>
        <w:t>16 novembre 2021</w:t>
      </w:r>
    </w:p>
    <w:p w14:paraId="017AE870" w14:textId="77777777" w:rsidR="006D3789" w:rsidRPr="00DE28BB" w:rsidRDefault="006D3789" w:rsidP="00D2245F">
      <w:pPr>
        <w:rPr>
          <w:sz w:val="24"/>
          <w:szCs w:val="24"/>
        </w:rPr>
      </w:pPr>
      <w:r w:rsidRPr="00DE28BB">
        <w:rPr>
          <w:sz w:val="24"/>
          <w:szCs w:val="24"/>
        </w:rPr>
        <w:t>Circolare Informativa n° 1/2020</w:t>
      </w:r>
    </w:p>
    <w:p w14:paraId="4C4BDE7C" w14:textId="5E4D77CE" w:rsidR="00CA0746" w:rsidRPr="00C31EBD" w:rsidRDefault="00D2245F" w:rsidP="003C4B4D">
      <w:pPr>
        <w:rPr>
          <w:rFonts w:ascii="PT Sans" w:hAnsi="PT Sans"/>
          <w:b/>
          <w:shd w:val="clear" w:color="auto" w:fill="FFFFFF"/>
        </w:rPr>
      </w:pPr>
      <w:r w:rsidRPr="00C31EBD">
        <w:rPr>
          <w:b/>
          <w:sz w:val="24"/>
          <w:szCs w:val="24"/>
        </w:rPr>
        <w:t xml:space="preserve">Oggetto: </w:t>
      </w:r>
      <w:r w:rsidR="00CA0746" w:rsidRPr="00C31EBD">
        <w:rPr>
          <w:rFonts w:ascii="PT Sans" w:hAnsi="PT Sans"/>
          <w:b/>
          <w:shd w:val="clear" w:color="auto" w:fill="FFFFFF"/>
        </w:rPr>
        <w:t xml:space="preserve">D.L. 157/2021 </w:t>
      </w:r>
      <w:r w:rsidR="00CA0746" w:rsidRPr="00C31EBD">
        <w:rPr>
          <w:rFonts w:ascii="PT Sans" w:hAnsi="PT Sans"/>
          <w:b/>
          <w:shd w:val="clear" w:color="auto" w:fill="FFFFFF"/>
        </w:rPr>
        <w:t>interventi sugli immobili: estensione dell’obbligo del visto di conformità e dell’asseverazione congruità spese</w:t>
      </w:r>
      <w:r w:rsidR="00C31EBD" w:rsidRPr="00C31EBD">
        <w:rPr>
          <w:rFonts w:ascii="PT Sans" w:hAnsi="PT Sans"/>
          <w:b/>
          <w:shd w:val="clear" w:color="auto" w:fill="FFFFFF"/>
        </w:rPr>
        <w:t xml:space="preserve"> dal 12 novembre 2021</w:t>
      </w:r>
      <w:r w:rsidR="00CA0746" w:rsidRPr="00C31EBD">
        <w:rPr>
          <w:rFonts w:ascii="PT Sans" w:hAnsi="PT Sans"/>
          <w:b/>
          <w:shd w:val="clear" w:color="auto" w:fill="FFFFFF"/>
        </w:rPr>
        <w:t>.</w:t>
      </w:r>
    </w:p>
    <w:p w14:paraId="649AADD8" w14:textId="77777777" w:rsidR="00C31EBD" w:rsidRDefault="00C31EBD" w:rsidP="00C31EBD">
      <w:pPr>
        <w:spacing w:line="320" w:lineRule="exact"/>
        <w:jc w:val="both"/>
        <w:rPr>
          <w:rFonts w:ascii="PT Sans" w:hAnsi="PT Sans"/>
          <w:shd w:val="clear" w:color="auto" w:fill="FFFFFF"/>
        </w:rPr>
      </w:pPr>
      <w:r>
        <w:rPr>
          <w:rFonts w:ascii="PT Sans" w:hAnsi="PT Sans"/>
          <w:shd w:val="clear" w:color="auto" w:fill="FFFFFF"/>
        </w:rPr>
        <w:t xml:space="preserve">L’articolo 1, D.L. 157/2021 pubblicato sulla Gazzetta ufficiale n. 269 dell’11 novembre 2021 ha esteso l’obbligo di apposizione del visto di conformità e dell’asseverazione della congruità delle spese per gli interventi sugli immobili diversi da quelli che danno diritto al superbonus 110%. </w:t>
      </w:r>
    </w:p>
    <w:p w14:paraId="1D0C2D69" w14:textId="77777777" w:rsidR="00C31EBD" w:rsidRDefault="00C31EBD" w:rsidP="00C31EBD">
      <w:pPr>
        <w:spacing w:line="320" w:lineRule="exact"/>
        <w:jc w:val="both"/>
        <w:rPr>
          <w:rFonts w:ascii="PT Sans" w:hAnsi="PT Sans"/>
          <w:shd w:val="clear" w:color="auto" w:fill="FFFFFF"/>
        </w:rPr>
      </w:pPr>
      <w:r>
        <w:rPr>
          <w:rFonts w:ascii="PT Sans" w:hAnsi="PT Sans"/>
          <w:shd w:val="clear" w:color="auto" w:fill="FFFFFF"/>
        </w:rPr>
        <w:t>Con il provvedimento n. 312528 del 12 novembre 2021 l’Agenzia delle entrate ha approvato il nuovo modello di comunicazione delle opzioni, le istruzioni per la compilazione e le specifiche tecniche per la trasmissione telematica, da utilizzare a partire dal 12 novembre scorso.</w:t>
      </w:r>
    </w:p>
    <w:p w14:paraId="0B2B93E7" w14:textId="77777777" w:rsidR="00C31EBD" w:rsidRPr="006F5244" w:rsidRDefault="00C31EBD" w:rsidP="00C31EBD">
      <w:pPr>
        <w:spacing w:line="320" w:lineRule="exact"/>
        <w:jc w:val="both"/>
        <w:rPr>
          <w:rFonts w:ascii="PT Sans" w:hAnsi="PT Sans"/>
          <w:b/>
          <w:bCs/>
          <w:color w:val="006EB7"/>
          <w:szCs w:val="20"/>
        </w:rPr>
      </w:pPr>
      <w:r w:rsidRPr="006F5244">
        <w:rPr>
          <w:rFonts w:ascii="PT Sans" w:hAnsi="PT Sans"/>
          <w:b/>
          <w:bCs/>
          <w:color w:val="006EB7"/>
          <w:szCs w:val="20"/>
        </w:rPr>
        <w:t>Gli interventi per i quali è obbligatoria l’apposizione del visto di conformità nel caso di opzione</w:t>
      </w:r>
    </w:p>
    <w:p w14:paraId="21D5C62F" w14:textId="77777777" w:rsidR="00C31EBD" w:rsidRDefault="00C31EBD" w:rsidP="00C31EBD">
      <w:pPr>
        <w:spacing w:line="320" w:lineRule="exact"/>
        <w:jc w:val="both"/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 xml:space="preserve">In caso di opzione per il contributo sotto forma di sconto sul corrispettivo dovuto ovvero per la cessione del credito di imposta di pari ammontare alla detrazione, è obbligatorio dal 12 novembre 2021 richiedere il visto di conformità dei dati relativi alla documentazione che attesta la sussistenza dei presupposti, rilasciato ai sensi dell’articolo 35, D.Lgs. 241/1997. </w:t>
      </w:r>
    </w:p>
    <w:p w14:paraId="2120B492" w14:textId="77777777" w:rsidR="00C31EBD" w:rsidRDefault="00C31EBD" w:rsidP="00C31EBD">
      <w:pPr>
        <w:spacing w:line="320" w:lineRule="exact"/>
        <w:jc w:val="both"/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È inoltre obbligatorio che i tecnici abilitati asseverino la congruità delle spese sostenute secondo le disposizioni di cui all’articolo 119, comma 13-</w:t>
      </w:r>
      <w:r w:rsidRPr="006F5244">
        <w:rPr>
          <w:rFonts w:ascii="PT Sans" w:hAnsi="PT Sans"/>
          <w:i/>
          <w:iCs/>
          <w:color w:val="000000"/>
          <w:shd w:val="clear" w:color="auto" w:fill="FFFFFF"/>
        </w:rPr>
        <w:t>bis</w:t>
      </w:r>
      <w:r>
        <w:rPr>
          <w:rFonts w:ascii="PT Sans" w:hAnsi="PT Sans"/>
          <w:i/>
          <w:iCs/>
          <w:color w:val="000000"/>
          <w:shd w:val="clear" w:color="auto" w:fill="FFFFFF"/>
        </w:rPr>
        <w:t xml:space="preserve">, </w:t>
      </w:r>
      <w:r>
        <w:rPr>
          <w:rFonts w:ascii="PT Sans" w:hAnsi="PT Sans"/>
          <w:color w:val="000000"/>
          <w:shd w:val="clear" w:color="auto" w:fill="FFFFFF"/>
        </w:rPr>
        <w:t>D.L. 34/2020. Gli interventi interessati sono:</w:t>
      </w:r>
    </w:p>
    <w:p w14:paraId="7EBC010E" w14:textId="77777777" w:rsidR="00C31EBD" w:rsidRDefault="00C31EBD" w:rsidP="00C31EBD">
      <w:pPr>
        <w:numPr>
          <w:ilvl w:val="0"/>
          <w:numId w:val="3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gli interventi di recupero del patrimonio edilizio di cui all’articolo 16-</w:t>
      </w:r>
      <w:r w:rsidRPr="006F5244">
        <w:rPr>
          <w:rFonts w:ascii="PT Sans" w:hAnsi="PT Sans"/>
          <w:i/>
          <w:iCs/>
          <w:color w:val="000000"/>
          <w:shd w:val="clear" w:color="auto" w:fill="FFFFFF"/>
        </w:rPr>
        <w:t>bis</w:t>
      </w:r>
      <w:r>
        <w:rPr>
          <w:rFonts w:ascii="PT Sans" w:hAnsi="PT Sans"/>
          <w:i/>
          <w:iCs/>
          <w:color w:val="000000"/>
          <w:shd w:val="clear" w:color="auto" w:fill="FFFFFF"/>
        </w:rPr>
        <w:t xml:space="preserve">, </w:t>
      </w:r>
      <w:r w:rsidRPr="006F5244">
        <w:rPr>
          <w:rFonts w:ascii="PT Sans" w:hAnsi="PT Sans"/>
          <w:color w:val="000000"/>
          <w:shd w:val="clear" w:color="auto" w:fill="FFFFFF"/>
        </w:rPr>
        <w:t>comma</w:t>
      </w:r>
      <w:r>
        <w:rPr>
          <w:rFonts w:ascii="PT Sans" w:hAnsi="PT Sans"/>
          <w:i/>
          <w:iCs/>
          <w:color w:val="000000"/>
          <w:shd w:val="clear" w:color="auto" w:fill="FFFFFF"/>
        </w:rPr>
        <w:t xml:space="preserve"> </w:t>
      </w:r>
      <w:r w:rsidRPr="00A00205">
        <w:rPr>
          <w:rFonts w:ascii="PT Sans" w:hAnsi="PT Sans"/>
          <w:color w:val="000000"/>
          <w:shd w:val="clear" w:color="auto" w:fill="FFFFFF"/>
        </w:rPr>
        <w:t>1</w:t>
      </w:r>
      <w:r>
        <w:rPr>
          <w:rFonts w:ascii="PT Sans" w:hAnsi="PT Sans"/>
          <w:i/>
          <w:iCs/>
          <w:color w:val="000000"/>
          <w:shd w:val="clear" w:color="auto" w:fill="FFFFFF"/>
        </w:rPr>
        <w:t>,</w:t>
      </w:r>
      <w:r>
        <w:rPr>
          <w:rFonts w:ascii="PT Sans" w:hAnsi="PT Sans"/>
          <w:color w:val="000000"/>
          <w:shd w:val="clear" w:color="auto" w:fill="FFFFFF"/>
        </w:rPr>
        <w:t xml:space="preserve"> lettera a) e b), D.P.R. 917/1986 (pertanto, non sono ricompresi tutti gli interventi che danno diritto alla detrazione Irpef del 50%);</w:t>
      </w:r>
    </w:p>
    <w:p w14:paraId="0D8162E3" w14:textId="77777777" w:rsidR="00C31EBD" w:rsidRDefault="00C31EBD" w:rsidP="00C31EBD">
      <w:pPr>
        <w:numPr>
          <w:ilvl w:val="0"/>
          <w:numId w:val="3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gli interventi di efficienza energetica di cui all’articolo 14, D.L. 63/2013;</w:t>
      </w:r>
    </w:p>
    <w:p w14:paraId="37BB480D" w14:textId="77777777" w:rsidR="00C31EBD" w:rsidRDefault="00C31EBD" w:rsidP="00C31EBD">
      <w:pPr>
        <w:numPr>
          <w:ilvl w:val="0"/>
          <w:numId w:val="3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gli interventi di adozione di misure antisismiche di cui all’articolo 16, commi da 1-</w:t>
      </w:r>
      <w:r w:rsidRPr="00A00205">
        <w:rPr>
          <w:rFonts w:ascii="PT Sans" w:hAnsi="PT Sans"/>
          <w:i/>
          <w:iCs/>
          <w:color w:val="000000"/>
          <w:shd w:val="clear" w:color="auto" w:fill="FFFFFF"/>
        </w:rPr>
        <w:t>bis</w:t>
      </w:r>
      <w:r>
        <w:rPr>
          <w:rFonts w:ascii="PT Sans" w:hAnsi="PT Sans"/>
          <w:color w:val="000000"/>
          <w:shd w:val="clear" w:color="auto" w:fill="FFFFFF"/>
        </w:rPr>
        <w:t xml:space="preserve"> a 1-</w:t>
      </w:r>
      <w:r w:rsidRPr="00A00205">
        <w:rPr>
          <w:rFonts w:ascii="PT Sans" w:hAnsi="PT Sans"/>
          <w:i/>
          <w:iCs/>
          <w:color w:val="000000"/>
          <w:shd w:val="clear" w:color="auto" w:fill="FFFFFF"/>
        </w:rPr>
        <w:t>septies</w:t>
      </w:r>
      <w:r>
        <w:rPr>
          <w:rFonts w:ascii="PT Sans" w:hAnsi="PT Sans"/>
          <w:color w:val="000000"/>
          <w:shd w:val="clear" w:color="auto" w:fill="FFFFFF"/>
        </w:rPr>
        <w:t>, D.L. 63/2013;</w:t>
      </w:r>
    </w:p>
    <w:p w14:paraId="26C7ED4C" w14:textId="77777777" w:rsidR="00C31EBD" w:rsidRDefault="00C31EBD" w:rsidP="00C31EBD">
      <w:pPr>
        <w:numPr>
          <w:ilvl w:val="0"/>
          <w:numId w:val="3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gli interventi di recupero o restauro della facciata degli edifici esistenti di cui all’articolo 1, commi 219 e 220, L. 160/2019;</w:t>
      </w:r>
    </w:p>
    <w:p w14:paraId="5EE73687" w14:textId="77777777" w:rsidR="00C31EBD" w:rsidRDefault="00C31EBD" w:rsidP="00C31EBD">
      <w:pPr>
        <w:numPr>
          <w:ilvl w:val="0"/>
          <w:numId w:val="3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gli interventi di installazione di impianti fotovoltaici di cui all’articolo 16-</w:t>
      </w:r>
      <w:r w:rsidRPr="00A00205">
        <w:rPr>
          <w:rFonts w:ascii="PT Sans" w:hAnsi="PT Sans"/>
          <w:i/>
          <w:iCs/>
          <w:color w:val="000000"/>
          <w:shd w:val="clear" w:color="auto" w:fill="FFFFFF"/>
        </w:rPr>
        <w:t>bis</w:t>
      </w:r>
      <w:r>
        <w:rPr>
          <w:rFonts w:ascii="PT Sans" w:hAnsi="PT Sans"/>
          <w:i/>
          <w:iCs/>
          <w:color w:val="000000"/>
          <w:shd w:val="clear" w:color="auto" w:fill="FFFFFF"/>
        </w:rPr>
        <w:t>,</w:t>
      </w:r>
      <w:r>
        <w:rPr>
          <w:rFonts w:ascii="PT Sans" w:hAnsi="PT Sans"/>
          <w:color w:val="000000"/>
          <w:shd w:val="clear" w:color="auto" w:fill="FFFFFF"/>
        </w:rPr>
        <w:t xml:space="preserve"> comma 1, lettera h), D.P.R. 917/1986;</w:t>
      </w:r>
    </w:p>
    <w:p w14:paraId="6723C28A" w14:textId="77777777" w:rsidR="00C31EBD" w:rsidRDefault="00C31EBD" w:rsidP="00C31EBD">
      <w:pPr>
        <w:numPr>
          <w:ilvl w:val="0"/>
          <w:numId w:val="3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gli interventi di installazione di colonnine per la ricarica dei veicoli elettrici di cui all’articolo 16-</w:t>
      </w:r>
      <w:r w:rsidRPr="00A00205">
        <w:rPr>
          <w:rFonts w:ascii="PT Sans" w:hAnsi="PT Sans"/>
          <w:i/>
          <w:iCs/>
          <w:color w:val="000000"/>
          <w:shd w:val="clear" w:color="auto" w:fill="FFFFFF"/>
        </w:rPr>
        <w:t>ter</w:t>
      </w:r>
      <w:r>
        <w:rPr>
          <w:rFonts w:ascii="PT Sans" w:hAnsi="PT Sans"/>
          <w:i/>
          <w:iCs/>
          <w:color w:val="000000"/>
          <w:shd w:val="clear" w:color="auto" w:fill="FFFFFF"/>
        </w:rPr>
        <w:t>,</w:t>
      </w:r>
      <w:r>
        <w:rPr>
          <w:rFonts w:ascii="PT Sans" w:hAnsi="PT Sans"/>
          <w:color w:val="000000"/>
          <w:shd w:val="clear" w:color="auto" w:fill="FFFFFF"/>
        </w:rPr>
        <w:t xml:space="preserve"> D.L. 63/2013.</w:t>
      </w:r>
    </w:p>
    <w:p w14:paraId="61EB1EBE" w14:textId="77777777" w:rsidR="00C31EBD" w:rsidRDefault="00C31EBD" w:rsidP="00C31EBD">
      <w:pPr>
        <w:spacing w:line="320" w:lineRule="exact"/>
        <w:jc w:val="both"/>
        <w:rPr>
          <w:rFonts w:ascii="PT Sans" w:hAnsi="PT Sans"/>
          <w:szCs w:val="20"/>
        </w:rPr>
      </w:pPr>
      <w:r>
        <w:rPr>
          <w:rFonts w:ascii="PT Sans" w:hAnsi="PT Sans"/>
          <w:szCs w:val="20"/>
        </w:rPr>
        <w:t xml:space="preserve">Viene, inoltre, esteso l’obbligo di apposizione del visto di conformità per gli interventi che danno diritto al superbonus 110% anche nel caso in cui la detrazione fiscale venga fruita nell’arco temporale previsto in dichiarazione dei redditi (fino al 31 dicembre 2021 in 5 rate annuali di pari importo). </w:t>
      </w:r>
    </w:p>
    <w:p w14:paraId="14074D79" w14:textId="77777777" w:rsidR="00C31EBD" w:rsidRDefault="00C31EBD" w:rsidP="00C31EBD">
      <w:pPr>
        <w:spacing w:line="320" w:lineRule="exact"/>
        <w:jc w:val="both"/>
        <w:rPr>
          <w:rFonts w:ascii="PT Sans" w:hAnsi="PT Sans"/>
          <w:szCs w:val="20"/>
        </w:rPr>
      </w:pPr>
      <w:r>
        <w:rPr>
          <w:rFonts w:ascii="PT Sans" w:hAnsi="PT Sans"/>
          <w:szCs w:val="20"/>
        </w:rPr>
        <w:t xml:space="preserve">Il visto di conformità, invece, non sarà necessario qualora la dichiarazione venga presentata direttamente dal contribuente tramite l’utilizzo della “dichiarazione precompilata” oppure tramite il sostituto di imposta che presta l’assistenza fiscale. </w:t>
      </w:r>
    </w:p>
    <w:p w14:paraId="7733C464" w14:textId="77777777" w:rsidR="00C31EBD" w:rsidRDefault="00C31EBD" w:rsidP="00C31EBD">
      <w:pPr>
        <w:spacing w:line="120" w:lineRule="exact"/>
        <w:jc w:val="both"/>
        <w:rPr>
          <w:rFonts w:ascii="PT Sans" w:hAnsi="PT Sans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31EBD" w:rsidRPr="00555CC2" w14:paraId="3EDDC4E0" w14:textId="77777777" w:rsidTr="008D4E3E">
        <w:tc>
          <w:tcPr>
            <w:tcW w:w="9670" w:type="dxa"/>
            <w:tcBorders>
              <w:top w:val="single" w:sz="4" w:space="0" w:color="006EB7"/>
              <w:left w:val="single" w:sz="4" w:space="0" w:color="006EB7"/>
              <w:bottom w:val="single" w:sz="4" w:space="0" w:color="006EB7"/>
              <w:right w:val="single" w:sz="4" w:space="0" w:color="006EB7"/>
            </w:tcBorders>
            <w:shd w:val="clear" w:color="auto" w:fill="auto"/>
          </w:tcPr>
          <w:p w14:paraId="18021B54" w14:textId="77777777" w:rsidR="00C31EBD" w:rsidRDefault="00C31EBD" w:rsidP="008D4E3E">
            <w:pPr>
              <w:spacing w:line="320" w:lineRule="exact"/>
              <w:jc w:val="both"/>
              <w:rPr>
                <w:rFonts w:ascii="PT Sans" w:hAnsi="PT Sans"/>
                <w:szCs w:val="20"/>
              </w:rPr>
            </w:pPr>
            <w:r w:rsidRPr="00555CC2">
              <w:rPr>
                <w:rFonts w:ascii="PT Sans" w:hAnsi="PT Sans"/>
                <w:szCs w:val="20"/>
              </w:rPr>
              <w:t xml:space="preserve">Si rimane in attesa di chiarimenti ministeriali per quanto riguarda gli interventi “ordinari” per i quali sia già stata presentata una comunicazione telematica relativamente al pagamento di acconti o al raggiungimento di Sal alla data del 12 novembre 2021. </w:t>
            </w:r>
          </w:p>
          <w:p w14:paraId="23DF27AE" w14:textId="77777777" w:rsidR="00C31EBD" w:rsidRDefault="00C31EBD" w:rsidP="008D4E3E">
            <w:pPr>
              <w:spacing w:line="320" w:lineRule="exact"/>
              <w:jc w:val="both"/>
              <w:rPr>
                <w:rFonts w:ascii="PT Sans" w:hAnsi="PT Sans"/>
                <w:szCs w:val="20"/>
              </w:rPr>
            </w:pPr>
            <w:r w:rsidRPr="00555CC2">
              <w:rPr>
                <w:rFonts w:ascii="PT Sans" w:hAnsi="PT Sans"/>
                <w:szCs w:val="20"/>
              </w:rPr>
              <w:t>Le eventuali comunicazioni telematiche successive necessitano dell’asseverazione della congruità dei prezzi e del visto di conformità?</w:t>
            </w:r>
          </w:p>
          <w:p w14:paraId="43020099" w14:textId="77777777" w:rsidR="00C31EBD" w:rsidRPr="00555CC2" w:rsidRDefault="00C31EBD" w:rsidP="008D4E3E">
            <w:pPr>
              <w:spacing w:line="320" w:lineRule="exact"/>
              <w:jc w:val="both"/>
              <w:rPr>
                <w:rFonts w:ascii="PT Sans" w:hAnsi="PT Sans"/>
                <w:szCs w:val="20"/>
              </w:rPr>
            </w:pPr>
            <w:r w:rsidRPr="00241292">
              <w:rPr>
                <w:rFonts w:ascii="PT Sans" w:hAnsi="PT Sans"/>
                <w:szCs w:val="20"/>
              </w:rPr>
              <w:t>Al momento non ci sono indicazioni operative in merito a questa casistica</w:t>
            </w:r>
            <w:r>
              <w:rPr>
                <w:rFonts w:ascii="PT Sans" w:hAnsi="PT Sans"/>
                <w:szCs w:val="20"/>
              </w:rPr>
              <w:t>.</w:t>
            </w:r>
          </w:p>
        </w:tc>
      </w:tr>
    </w:tbl>
    <w:p w14:paraId="5CD6904D" w14:textId="77777777" w:rsidR="00C31EBD" w:rsidRDefault="00C31EBD" w:rsidP="00C31EBD">
      <w:pPr>
        <w:spacing w:line="120" w:lineRule="exact"/>
        <w:jc w:val="both"/>
        <w:rPr>
          <w:rFonts w:ascii="PT Sans" w:hAnsi="PT Sans"/>
          <w:szCs w:val="20"/>
        </w:rPr>
      </w:pPr>
    </w:p>
    <w:p w14:paraId="2E6ACC64" w14:textId="77777777" w:rsidR="00C31EBD" w:rsidRDefault="00C31EBD" w:rsidP="00C31EBD">
      <w:pPr>
        <w:spacing w:line="320" w:lineRule="exact"/>
        <w:jc w:val="both"/>
        <w:rPr>
          <w:rFonts w:ascii="PT Sans" w:hAnsi="PT Sans"/>
          <w:szCs w:val="20"/>
        </w:rPr>
      </w:pPr>
      <w:r>
        <w:rPr>
          <w:rFonts w:ascii="PT Sans" w:hAnsi="PT Sans"/>
          <w:szCs w:val="20"/>
        </w:rPr>
        <w:t>Il nuovo articolo 122-</w:t>
      </w:r>
      <w:r w:rsidRPr="00A00205">
        <w:rPr>
          <w:rFonts w:ascii="PT Sans" w:hAnsi="PT Sans"/>
          <w:i/>
          <w:iCs/>
          <w:szCs w:val="20"/>
        </w:rPr>
        <w:t>bis</w:t>
      </w:r>
      <w:r>
        <w:rPr>
          <w:rFonts w:ascii="PT Sans" w:hAnsi="PT Sans"/>
          <w:i/>
          <w:iCs/>
          <w:szCs w:val="20"/>
        </w:rPr>
        <w:t xml:space="preserve">, </w:t>
      </w:r>
      <w:r>
        <w:rPr>
          <w:rFonts w:ascii="PT Sans" w:hAnsi="PT Sans"/>
          <w:szCs w:val="20"/>
        </w:rPr>
        <w:t xml:space="preserve">D.L. 34/2020 prevede che l’Agenzia delle entrate possa sospendere gli effetti delle comunicazioni delle cessioni e delle opzioni inviate fino a un periodo di 30 giorni ai fini del controllo preventivo di situazioni che presentano profili di rischio. </w:t>
      </w:r>
    </w:p>
    <w:p w14:paraId="522FD9D1" w14:textId="77777777" w:rsidR="00C31EBD" w:rsidRPr="009F2E62" w:rsidRDefault="00C31EBD" w:rsidP="00C31EBD">
      <w:pPr>
        <w:spacing w:line="320" w:lineRule="exact"/>
        <w:jc w:val="both"/>
        <w:rPr>
          <w:rFonts w:ascii="PT Sans" w:hAnsi="PT Sans"/>
        </w:rPr>
      </w:pPr>
    </w:p>
    <w:p w14:paraId="6496D48E" w14:textId="709B84BD" w:rsidR="00742C6B" w:rsidRPr="00742C6B" w:rsidRDefault="00CA0746" w:rsidP="00C31EBD">
      <w:pPr>
        <w:rPr>
          <w:sz w:val="24"/>
          <w:szCs w:val="24"/>
        </w:rPr>
      </w:pPr>
      <w:r>
        <w:rPr>
          <w:rFonts w:ascii="PT Sans" w:hAnsi="PT Sans"/>
          <w:shd w:val="clear" w:color="auto" w:fill="FFFFFF"/>
        </w:rPr>
        <w:t xml:space="preserve"> </w:t>
      </w:r>
      <w:r w:rsidR="00742C6B" w:rsidRPr="00742C6B">
        <w:rPr>
          <w:sz w:val="24"/>
          <w:szCs w:val="24"/>
        </w:rPr>
        <w:t>Cordiali saluti.</w:t>
      </w:r>
    </w:p>
    <w:p w14:paraId="09653C6E" w14:textId="77777777" w:rsidR="00BA44EA" w:rsidRPr="000E5326" w:rsidRDefault="001F0580" w:rsidP="00B57CE5">
      <w:pPr>
        <w:spacing w:line="360" w:lineRule="auto"/>
        <w:jc w:val="center"/>
        <w:rPr>
          <w:sz w:val="26"/>
          <w:szCs w:val="26"/>
        </w:rPr>
      </w:pPr>
      <w:r w:rsidRPr="00742C6B">
        <w:rPr>
          <w:sz w:val="24"/>
          <w:szCs w:val="24"/>
        </w:rPr>
        <w:t>Studio Calzolari</w:t>
      </w:r>
    </w:p>
    <w:p w14:paraId="0BCC1092" w14:textId="77777777" w:rsidR="00BA44EA" w:rsidRDefault="00BA44EA" w:rsidP="00D2245F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sectPr w:rsidR="00BA44E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6F0D" w14:textId="77777777" w:rsidR="00D2245F" w:rsidRDefault="00D2245F" w:rsidP="00D2245F">
      <w:pPr>
        <w:spacing w:after="0" w:line="240" w:lineRule="auto"/>
      </w:pPr>
      <w:r>
        <w:separator/>
      </w:r>
    </w:p>
  </w:endnote>
  <w:endnote w:type="continuationSeparator" w:id="0">
    <w:p w14:paraId="22207A51" w14:textId="77777777" w:rsidR="00D2245F" w:rsidRDefault="00D2245F" w:rsidP="00D2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2548" w14:textId="77777777" w:rsidR="00D2245F" w:rsidRPr="003E4554" w:rsidRDefault="00D2245F" w:rsidP="00D2245F">
    <w:pPr>
      <w:pStyle w:val="Pidipagina"/>
      <w:jc w:val="center"/>
      <w:rPr>
        <w:rFonts w:ascii="Times New Roman" w:hAnsi="Times New Roman" w:cs="Times New Roman"/>
        <w:b/>
        <w:sz w:val="20"/>
      </w:rPr>
    </w:pPr>
    <w:r w:rsidRPr="003E4554">
      <w:rPr>
        <w:rFonts w:ascii="Times New Roman" w:hAnsi="Times New Roman" w:cs="Times New Roman"/>
        <w:b/>
        <w:sz w:val="20"/>
      </w:rPr>
      <w:t>40135 Bologna – Via Saragozza, 166 – Tel.051.6141269 – Fax 051.6142296</w:t>
    </w:r>
  </w:p>
  <w:p w14:paraId="75C90DA6" w14:textId="77777777" w:rsidR="00D2245F" w:rsidRPr="003E4554" w:rsidRDefault="00D2245F" w:rsidP="00D2245F">
    <w:pPr>
      <w:pStyle w:val="Pidipagina"/>
      <w:jc w:val="center"/>
      <w:rPr>
        <w:rFonts w:ascii="Times New Roman" w:hAnsi="Times New Roman" w:cs="Times New Roman"/>
        <w:b/>
        <w:lang w:val="fr-FR"/>
      </w:rPr>
    </w:pPr>
    <w:r>
      <w:rPr>
        <w:rFonts w:ascii="Times New Roman" w:hAnsi="Times New Roman" w:cs="Times New Roman"/>
        <w:b/>
        <w:sz w:val="20"/>
        <w:lang w:val="fr-FR"/>
      </w:rPr>
      <w:t>studio</w:t>
    </w:r>
    <w:r w:rsidRPr="003E4554">
      <w:rPr>
        <w:rFonts w:ascii="Times New Roman" w:hAnsi="Times New Roman" w:cs="Times New Roman"/>
        <w:b/>
        <w:sz w:val="20"/>
        <w:lang w:val="fr-FR"/>
      </w:rPr>
      <w:t>@calzolaricommercialisti.it</w:t>
    </w:r>
  </w:p>
  <w:p w14:paraId="3D1D98FC" w14:textId="77777777" w:rsidR="00D2245F" w:rsidRDefault="00D2245F" w:rsidP="00D2245F">
    <w:pPr>
      <w:pStyle w:val="Pidipagina"/>
      <w:rPr>
        <w:lang w:val="fr-FR"/>
      </w:rPr>
    </w:pPr>
  </w:p>
  <w:p w14:paraId="3382C2CE" w14:textId="77777777" w:rsidR="00D2245F" w:rsidRPr="009D62AE" w:rsidRDefault="00D2245F" w:rsidP="00D2245F">
    <w:pPr>
      <w:pStyle w:val="Pidipagina"/>
      <w:rPr>
        <w:lang w:val="fr-FR"/>
      </w:rPr>
    </w:pPr>
  </w:p>
  <w:p w14:paraId="3A7828B6" w14:textId="77777777" w:rsidR="00D2245F" w:rsidRDefault="00D224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64E4" w14:textId="77777777" w:rsidR="00D2245F" w:rsidRDefault="00D2245F" w:rsidP="00D2245F">
      <w:pPr>
        <w:spacing w:after="0" w:line="240" w:lineRule="auto"/>
      </w:pPr>
      <w:r>
        <w:separator/>
      </w:r>
    </w:p>
  </w:footnote>
  <w:footnote w:type="continuationSeparator" w:id="0">
    <w:p w14:paraId="0CF8FDF9" w14:textId="77777777" w:rsidR="00D2245F" w:rsidRDefault="00D2245F" w:rsidP="00D2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5E3D" w14:textId="77777777" w:rsidR="00D2245F" w:rsidRPr="003E4554" w:rsidRDefault="00D2245F" w:rsidP="00D2245F">
    <w:pPr>
      <w:pStyle w:val="Intestazione"/>
      <w:rPr>
        <w:rFonts w:ascii="Verdana" w:hAnsi="Verdana"/>
        <w:b/>
        <w:sz w:val="24"/>
        <w:szCs w:val="24"/>
      </w:rPr>
    </w:pPr>
    <w:r w:rsidRPr="003E4554">
      <w:rPr>
        <w:rFonts w:ascii="Verdana" w:hAnsi="Verdana"/>
        <w:b/>
        <w:sz w:val="24"/>
        <w:szCs w:val="24"/>
      </w:rPr>
      <w:t xml:space="preserve">studio </w:t>
    </w:r>
    <w:proofErr w:type="spellStart"/>
    <w:r w:rsidRPr="003E4554">
      <w:rPr>
        <w:rFonts w:ascii="Verdana" w:hAnsi="Verdana"/>
        <w:b/>
        <w:sz w:val="24"/>
        <w:szCs w:val="24"/>
      </w:rPr>
      <w:t>calzolari</w:t>
    </w:r>
    <w:proofErr w:type="spellEnd"/>
  </w:p>
  <w:p w14:paraId="523247D0" w14:textId="77777777" w:rsidR="00D2245F" w:rsidRPr="003E4554" w:rsidRDefault="00D2245F" w:rsidP="00D2245F">
    <w:pPr>
      <w:pStyle w:val="Intestazione"/>
      <w:rPr>
        <w:rFonts w:ascii="Verdana" w:hAnsi="Verdana"/>
        <w:b/>
        <w:bCs/>
        <w:sz w:val="24"/>
        <w:szCs w:val="24"/>
      </w:rPr>
    </w:pPr>
    <w:r w:rsidRPr="003E4554">
      <w:rPr>
        <w:rFonts w:ascii="Verdana" w:hAnsi="Verdana"/>
        <w:b/>
        <w:bCs/>
        <w:sz w:val="24"/>
        <w:szCs w:val="24"/>
      </w:rPr>
      <w:t>dottori commercialisti revisori contabili</w:t>
    </w:r>
  </w:p>
  <w:p w14:paraId="6DF9E7ED" w14:textId="77777777" w:rsidR="00D2245F" w:rsidRDefault="00D2245F" w:rsidP="00D2245F">
    <w:pPr>
      <w:pStyle w:val="Intestazione"/>
    </w:pPr>
    <w:r w:rsidRPr="003E4554">
      <w:rPr>
        <w:sz w:val="24"/>
        <w:szCs w:val="24"/>
      </w:rPr>
      <w:t>________________________________________________________________________________</w:t>
    </w:r>
  </w:p>
  <w:p w14:paraId="2743687C" w14:textId="77777777" w:rsidR="00D2245F" w:rsidRDefault="00D224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54C"/>
    <w:multiLevelType w:val="multilevel"/>
    <w:tmpl w:val="1AE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F4137"/>
    <w:multiLevelType w:val="hybridMultilevel"/>
    <w:tmpl w:val="15642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1EB1"/>
    <w:multiLevelType w:val="hybridMultilevel"/>
    <w:tmpl w:val="3DC645D0"/>
    <w:lvl w:ilvl="0" w:tplc="542C7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EF"/>
    <w:rsid w:val="00040CC2"/>
    <w:rsid w:val="0006717B"/>
    <w:rsid w:val="000735AC"/>
    <w:rsid w:val="00081D5E"/>
    <w:rsid w:val="0009449A"/>
    <w:rsid w:val="000C75FA"/>
    <w:rsid w:val="000D07E5"/>
    <w:rsid w:val="000D1BB8"/>
    <w:rsid w:val="000D63A9"/>
    <w:rsid w:val="000E5326"/>
    <w:rsid w:val="00132248"/>
    <w:rsid w:val="001A5E60"/>
    <w:rsid w:val="001B3A1A"/>
    <w:rsid w:val="001B721C"/>
    <w:rsid w:val="001C280B"/>
    <w:rsid w:val="001E34B0"/>
    <w:rsid w:val="001F0580"/>
    <w:rsid w:val="00202561"/>
    <w:rsid w:val="00216203"/>
    <w:rsid w:val="00232277"/>
    <w:rsid w:val="002350F1"/>
    <w:rsid w:val="00237055"/>
    <w:rsid w:val="00253E02"/>
    <w:rsid w:val="00276200"/>
    <w:rsid w:val="00280BB4"/>
    <w:rsid w:val="00286968"/>
    <w:rsid w:val="00290FD1"/>
    <w:rsid w:val="002C4616"/>
    <w:rsid w:val="002D11F6"/>
    <w:rsid w:val="002D3CFA"/>
    <w:rsid w:val="002D4251"/>
    <w:rsid w:val="002D4483"/>
    <w:rsid w:val="002E125F"/>
    <w:rsid w:val="002E28DE"/>
    <w:rsid w:val="00310084"/>
    <w:rsid w:val="00322831"/>
    <w:rsid w:val="00374F54"/>
    <w:rsid w:val="00390CB5"/>
    <w:rsid w:val="00394048"/>
    <w:rsid w:val="00397BAB"/>
    <w:rsid w:val="003C4B4D"/>
    <w:rsid w:val="003E2B07"/>
    <w:rsid w:val="003F09B1"/>
    <w:rsid w:val="00403EEE"/>
    <w:rsid w:val="00412FF1"/>
    <w:rsid w:val="004170A0"/>
    <w:rsid w:val="00423F2E"/>
    <w:rsid w:val="0043410F"/>
    <w:rsid w:val="004362CB"/>
    <w:rsid w:val="00463BBB"/>
    <w:rsid w:val="00466652"/>
    <w:rsid w:val="004D0C44"/>
    <w:rsid w:val="004D0C7B"/>
    <w:rsid w:val="00567D7C"/>
    <w:rsid w:val="005726DC"/>
    <w:rsid w:val="00581196"/>
    <w:rsid w:val="00590C50"/>
    <w:rsid w:val="005972A6"/>
    <w:rsid w:val="005B74CD"/>
    <w:rsid w:val="005D43FD"/>
    <w:rsid w:val="005E3BA1"/>
    <w:rsid w:val="00622C17"/>
    <w:rsid w:val="00653F73"/>
    <w:rsid w:val="00684CEA"/>
    <w:rsid w:val="0069218C"/>
    <w:rsid w:val="006D1BE1"/>
    <w:rsid w:val="006D3789"/>
    <w:rsid w:val="00704820"/>
    <w:rsid w:val="00707146"/>
    <w:rsid w:val="00716863"/>
    <w:rsid w:val="00724872"/>
    <w:rsid w:val="00742C6B"/>
    <w:rsid w:val="0076170F"/>
    <w:rsid w:val="00764B02"/>
    <w:rsid w:val="00767741"/>
    <w:rsid w:val="0077424E"/>
    <w:rsid w:val="007848FB"/>
    <w:rsid w:val="00787CDB"/>
    <w:rsid w:val="00797345"/>
    <w:rsid w:val="007A4EDC"/>
    <w:rsid w:val="007C39A4"/>
    <w:rsid w:val="007D142D"/>
    <w:rsid w:val="007D6143"/>
    <w:rsid w:val="0082361D"/>
    <w:rsid w:val="00825F1E"/>
    <w:rsid w:val="008318D8"/>
    <w:rsid w:val="00836894"/>
    <w:rsid w:val="00845E7B"/>
    <w:rsid w:val="0084672B"/>
    <w:rsid w:val="00851CD9"/>
    <w:rsid w:val="00864756"/>
    <w:rsid w:val="00884B8B"/>
    <w:rsid w:val="00896C88"/>
    <w:rsid w:val="008F3542"/>
    <w:rsid w:val="009061F2"/>
    <w:rsid w:val="0094528E"/>
    <w:rsid w:val="00972F47"/>
    <w:rsid w:val="009A27DB"/>
    <w:rsid w:val="009A5F98"/>
    <w:rsid w:val="009F2C45"/>
    <w:rsid w:val="00A30BB0"/>
    <w:rsid w:val="00A42C34"/>
    <w:rsid w:val="00A531B9"/>
    <w:rsid w:val="00A55AFC"/>
    <w:rsid w:val="00A62098"/>
    <w:rsid w:val="00A73C99"/>
    <w:rsid w:val="00A753EF"/>
    <w:rsid w:val="00AA6E7B"/>
    <w:rsid w:val="00AE6913"/>
    <w:rsid w:val="00B579FA"/>
    <w:rsid w:val="00B57CE5"/>
    <w:rsid w:val="00B60544"/>
    <w:rsid w:val="00B6078C"/>
    <w:rsid w:val="00B70617"/>
    <w:rsid w:val="00B80509"/>
    <w:rsid w:val="00B834C7"/>
    <w:rsid w:val="00BA1CDC"/>
    <w:rsid w:val="00BA44EA"/>
    <w:rsid w:val="00BB0AFD"/>
    <w:rsid w:val="00BB3295"/>
    <w:rsid w:val="00BC0313"/>
    <w:rsid w:val="00BC3FE5"/>
    <w:rsid w:val="00BD4BCE"/>
    <w:rsid w:val="00BD639C"/>
    <w:rsid w:val="00BE765E"/>
    <w:rsid w:val="00C01540"/>
    <w:rsid w:val="00C1503A"/>
    <w:rsid w:val="00C17059"/>
    <w:rsid w:val="00C17636"/>
    <w:rsid w:val="00C218A8"/>
    <w:rsid w:val="00C223CB"/>
    <w:rsid w:val="00C31EBD"/>
    <w:rsid w:val="00C34724"/>
    <w:rsid w:val="00C75387"/>
    <w:rsid w:val="00C93395"/>
    <w:rsid w:val="00CA0746"/>
    <w:rsid w:val="00CA7851"/>
    <w:rsid w:val="00CC5054"/>
    <w:rsid w:val="00CE54BD"/>
    <w:rsid w:val="00CF640F"/>
    <w:rsid w:val="00D03DC3"/>
    <w:rsid w:val="00D1220A"/>
    <w:rsid w:val="00D15716"/>
    <w:rsid w:val="00D2245F"/>
    <w:rsid w:val="00D459BF"/>
    <w:rsid w:val="00D5545E"/>
    <w:rsid w:val="00D90BE7"/>
    <w:rsid w:val="00D915DC"/>
    <w:rsid w:val="00DA1C25"/>
    <w:rsid w:val="00DA276A"/>
    <w:rsid w:val="00DA44FA"/>
    <w:rsid w:val="00DB0A32"/>
    <w:rsid w:val="00DB6C25"/>
    <w:rsid w:val="00DB7920"/>
    <w:rsid w:val="00DD42A6"/>
    <w:rsid w:val="00DD6A1B"/>
    <w:rsid w:val="00DD75E6"/>
    <w:rsid w:val="00DD7C4D"/>
    <w:rsid w:val="00DE28BB"/>
    <w:rsid w:val="00DF7500"/>
    <w:rsid w:val="00E1224D"/>
    <w:rsid w:val="00E141CD"/>
    <w:rsid w:val="00E32B18"/>
    <w:rsid w:val="00E34041"/>
    <w:rsid w:val="00E53F2B"/>
    <w:rsid w:val="00E96C34"/>
    <w:rsid w:val="00EA3BEC"/>
    <w:rsid w:val="00EB1BC9"/>
    <w:rsid w:val="00EC2FF1"/>
    <w:rsid w:val="00ED7520"/>
    <w:rsid w:val="00F20D73"/>
    <w:rsid w:val="00F37528"/>
    <w:rsid w:val="00F623CA"/>
    <w:rsid w:val="00F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64DC"/>
  <w15:chartTrackingRefBased/>
  <w15:docId w15:val="{D1F0B4DC-D7C2-4D84-8730-7F15473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D2245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9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45F"/>
  </w:style>
  <w:style w:type="paragraph" w:styleId="Pidipagina">
    <w:name w:val="footer"/>
    <w:basedOn w:val="Normale"/>
    <w:link w:val="PidipaginaCarattere"/>
    <w:uiPriority w:val="99"/>
    <w:unhideWhenUsed/>
    <w:rsid w:val="00D2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45F"/>
  </w:style>
  <w:style w:type="character" w:customStyle="1" w:styleId="Titolo2Carattere">
    <w:name w:val="Titolo 2 Carattere"/>
    <w:basedOn w:val="Carpredefinitoparagrafo"/>
    <w:link w:val="Titolo2"/>
    <w:rsid w:val="00D2245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F05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F058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D459BF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9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D459BF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62098"/>
    <w:rPr>
      <w:strike w:val="0"/>
      <w:dstrike w:val="0"/>
      <w:color w:val="0000FF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0E532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8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97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Alessandro Calzolari</cp:lastModifiedBy>
  <cp:revision>4</cp:revision>
  <cp:lastPrinted>2018-11-09T09:20:00Z</cp:lastPrinted>
  <dcterms:created xsi:type="dcterms:W3CDTF">2021-11-16T14:00:00Z</dcterms:created>
  <dcterms:modified xsi:type="dcterms:W3CDTF">2021-11-16T14:05:00Z</dcterms:modified>
</cp:coreProperties>
</file>