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0A4656" w:rsidRDefault="000A4656" w:rsidP="00976925">
      <w:pPr>
        <w:spacing w:after="0" w:line="360" w:lineRule="auto"/>
        <w:jc w:val="both"/>
        <w:rPr>
          <w:rFonts w:ascii="Times New Roman" w:hAnsi="Times New Roman" w:cs="Times New Roman"/>
          <w:b/>
          <w:sz w:val="24"/>
          <w:szCs w:val="24"/>
        </w:rPr>
      </w:pPr>
    </w:p>
    <w:p w:rsidR="00BB7872" w:rsidRPr="00455D1A" w:rsidRDefault="00BB7872" w:rsidP="00F009DB">
      <w:pPr>
        <w:shd w:val="clear" w:color="auto" w:fill="FFFFFF"/>
        <w:spacing w:line="276" w:lineRule="auto"/>
        <w:jc w:val="both"/>
        <w:rPr>
          <w:rFonts w:ascii="Times New Roman" w:hAnsi="Times New Roman" w:cs="Times New Roman"/>
          <w:b/>
          <w:bCs/>
          <w:iCs/>
          <w:sz w:val="24"/>
          <w:szCs w:val="24"/>
        </w:rPr>
      </w:pPr>
    </w:p>
    <w:p w:rsidR="00F27EAD" w:rsidRPr="00455D1A" w:rsidRDefault="00081B92" w:rsidP="00F009DB">
      <w:pPr>
        <w:shd w:val="clear" w:color="auto" w:fill="FFFFFF"/>
        <w:spacing w:line="276" w:lineRule="auto"/>
        <w:jc w:val="both"/>
        <w:rPr>
          <w:rFonts w:ascii="Times New Roman" w:hAnsi="Times New Roman" w:cs="Times New Roman"/>
          <w:b/>
          <w:iCs/>
          <w:sz w:val="24"/>
          <w:szCs w:val="24"/>
        </w:rPr>
      </w:pPr>
      <w:r w:rsidRPr="00455D1A">
        <w:rPr>
          <w:rFonts w:ascii="Times New Roman" w:hAnsi="Times New Roman" w:cs="Times New Roman"/>
          <w:b/>
          <w:bCs/>
          <w:iCs/>
          <w:sz w:val="24"/>
          <w:szCs w:val="24"/>
        </w:rPr>
        <w:t>Tribunale Civile di Milano, sez. XII, 22 ottobre 2018, n. 10703</w:t>
      </w:r>
    </w:p>
    <w:p w:rsidR="00081B92" w:rsidRPr="00455D1A" w:rsidRDefault="00F27EAD" w:rsidP="00F009DB">
      <w:pPr>
        <w:spacing w:line="276" w:lineRule="auto"/>
        <w:jc w:val="both"/>
        <w:rPr>
          <w:rFonts w:ascii="Times New Roman" w:hAnsi="Times New Roman" w:cs="Times New Roman"/>
          <w:b/>
          <w:sz w:val="24"/>
          <w:szCs w:val="24"/>
        </w:rPr>
      </w:pPr>
      <w:r w:rsidRPr="00455D1A">
        <w:rPr>
          <w:rFonts w:ascii="Times New Roman" w:hAnsi="Times New Roman" w:cs="Times New Roman"/>
          <w:b/>
          <w:sz w:val="24"/>
          <w:szCs w:val="24"/>
        </w:rPr>
        <w:t>"</w:t>
      </w:r>
      <w:r w:rsidR="00E86091" w:rsidRPr="00455D1A">
        <w:rPr>
          <w:rFonts w:ascii="Times New Roman" w:hAnsi="Times New Roman" w:cs="Times New Roman"/>
          <w:b/>
          <w:i/>
          <w:sz w:val="24"/>
          <w:szCs w:val="24"/>
          <w:shd w:val="clear" w:color="auto" w:fill="FFFFFF"/>
        </w:rPr>
        <w:t>Lo status di condomino, e cioè di "avente diritto" (arg. anche dagli articoli 66 e 67 disp. att. c.c.) a partecipare all'assemblea, e perciò ad impugnarne le deliberazioni, attiene evidentemente alla legittimazione ad agire ex articolo 1137 c.c., ovvero al diritto di azione, che spetta a chiunque faccia valere in giudizio un diritto assumendo di esserne titolare. La legittimazione ad agire per impugnazione delle deliberazioni dell'assemblea manca, quindi, tutte le volte in cui dalla stessa prospettazione della domanda emerga che l'attore non è un condomino ……………... Pertanto, non spetta all'utilizzatore di un'unità immobiliare in leasing il generale potere ex articolo 1137 c.c., di impugnare le deliberazioni condominiali in tema di spese necessarie per le parti comuni dell'edificio, essendo lo stesso titolare non di un diritto reale, ma di un diritto personale derivante da un contratto ad effetti obbligatori, che rimette il perfezionamento dell'effetto traslativo ad una futura manifestazione unilaterale di volontà del conduttore.</w:t>
      </w:r>
      <w:r w:rsidR="00081B92" w:rsidRPr="00455D1A">
        <w:rPr>
          <w:rFonts w:ascii="Times New Roman" w:hAnsi="Times New Roman" w:cs="Times New Roman"/>
          <w:b/>
          <w:i/>
          <w:sz w:val="24"/>
          <w:szCs w:val="24"/>
        </w:rPr>
        <w:t>”</w:t>
      </w:r>
      <w:r w:rsidR="00081B92" w:rsidRPr="00455D1A">
        <w:rPr>
          <w:rFonts w:ascii="Times New Roman" w:hAnsi="Times New Roman" w:cs="Times New Roman"/>
          <w:b/>
          <w:sz w:val="24"/>
          <w:szCs w:val="24"/>
        </w:rPr>
        <w:t>.</w:t>
      </w:r>
    </w:p>
    <w:p w:rsidR="00E86091" w:rsidRPr="00455D1A" w:rsidRDefault="00E86091" w:rsidP="00F009DB">
      <w:pPr>
        <w:spacing w:line="276" w:lineRule="auto"/>
        <w:jc w:val="both"/>
        <w:rPr>
          <w:rFonts w:ascii="Times New Roman" w:hAnsi="Times New Roman" w:cs="Times New Roman"/>
          <w:b/>
          <w:sz w:val="24"/>
          <w:szCs w:val="24"/>
        </w:rPr>
      </w:pPr>
      <w:r w:rsidRPr="00455D1A">
        <w:rPr>
          <w:rFonts w:ascii="Times New Roman" w:hAnsi="Times New Roman" w:cs="Times New Roman"/>
          <w:b/>
          <w:sz w:val="24"/>
          <w:szCs w:val="24"/>
        </w:rPr>
        <w:t xml:space="preserve">Quanto sopra ci ricorda altresì </w:t>
      </w:r>
      <w:r w:rsidR="00216C5F" w:rsidRPr="00455D1A">
        <w:rPr>
          <w:rFonts w:ascii="Times New Roman" w:hAnsi="Times New Roman" w:cs="Times New Roman"/>
          <w:b/>
          <w:sz w:val="24"/>
          <w:szCs w:val="24"/>
        </w:rPr>
        <w:t xml:space="preserve">che, </w:t>
      </w:r>
      <w:r w:rsidRPr="00455D1A">
        <w:rPr>
          <w:rFonts w:ascii="Times New Roman" w:hAnsi="Times New Roman" w:cs="Times New Roman"/>
          <w:b/>
          <w:sz w:val="24"/>
          <w:szCs w:val="24"/>
        </w:rPr>
        <w:t>qualora l’amministratore si trovi nelle condizioni di dover recuperare ai sensi dell’art. 63 disp</w:t>
      </w:r>
      <w:r w:rsidR="007D4E5B" w:rsidRPr="00455D1A">
        <w:rPr>
          <w:rFonts w:ascii="Times New Roman" w:hAnsi="Times New Roman" w:cs="Times New Roman"/>
          <w:b/>
          <w:sz w:val="24"/>
          <w:szCs w:val="24"/>
        </w:rPr>
        <w:t>.</w:t>
      </w:r>
      <w:r w:rsidRPr="00455D1A">
        <w:rPr>
          <w:rFonts w:ascii="Times New Roman" w:hAnsi="Times New Roman" w:cs="Times New Roman"/>
          <w:b/>
          <w:sz w:val="24"/>
          <w:szCs w:val="24"/>
        </w:rPr>
        <w:t xml:space="preserve"> att. c.c. il debito relativo ad un’unità immobiliare oggetto di un contratto di leasing</w:t>
      </w:r>
      <w:r w:rsidR="004B44D5">
        <w:rPr>
          <w:rFonts w:ascii="Times New Roman" w:hAnsi="Times New Roman" w:cs="Times New Roman"/>
          <w:b/>
          <w:sz w:val="24"/>
          <w:szCs w:val="24"/>
        </w:rPr>
        <w:t xml:space="preserve"> (locazione finanziaria)</w:t>
      </w:r>
      <w:bookmarkStart w:id="0" w:name="_GoBack"/>
      <w:bookmarkEnd w:id="0"/>
      <w:r w:rsidR="00216C5F" w:rsidRPr="00455D1A">
        <w:rPr>
          <w:rFonts w:ascii="Times New Roman" w:hAnsi="Times New Roman" w:cs="Times New Roman"/>
          <w:b/>
          <w:sz w:val="24"/>
          <w:szCs w:val="24"/>
        </w:rPr>
        <w:t>,</w:t>
      </w:r>
      <w:r w:rsidRPr="00455D1A">
        <w:rPr>
          <w:rFonts w:ascii="Times New Roman" w:hAnsi="Times New Roman" w:cs="Times New Roman"/>
          <w:b/>
          <w:sz w:val="24"/>
          <w:szCs w:val="24"/>
        </w:rPr>
        <w:t xml:space="preserve"> il soggetto nei cui confronti va proposta l’azione non è il locatario</w:t>
      </w:r>
      <w:r w:rsidR="00E337E9">
        <w:rPr>
          <w:rFonts w:ascii="Times New Roman" w:hAnsi="Times New Roman" w:cs="Times New Roman"/>
          <w:b/>
          <w:sz w:val="24"/>
          <w:szCs w:val="24"/>
        </w:rPr>
        <w:t>/</w:t>
      </w:r>
      <w:r w:rsidRPr="00455D1A">
        <w:rPr>
          <w:rFonts w:ascii="Times New Roman" w:hAnsi="Times New Roman" w:cs="Times New Roman"/>
          <w:b/>
          <w:sz w:val="24"/>
          <w:szCs w:val="24"/>
        </w:rPr>
        <w:t>utilizzatore del bene immobile, ma la società di leasing.</w:t>
      </w:r>
    </w:p>
    <w:p w:rsidR="00197F23" w:rsidRDefault="00216C5F" w:rsidP="00F009DB">
      <w:pPr>
        <w:pStyle w:val="NormaleWeb"/>
        <w:spacing w:before="0" w:beforeAutospacing="0" w:after="150" w:afterAutospacing="0" w:line="276" w:lineRule="auto"/>
        <w:jc w:val="both"/>
        <w:rPr>
          <w:b/>
        </w:rPr>
      </w:pPr>
      <w:r w:rsidRPr="00455D1A">
        <w:rPr>
          <w:b/>
        </w:rPr>
        <w:t>Ciò</w:t>
      </w:r>
      <w:r w:rsidR="007D4E5B" w:rsidRPr="00455D1A">
        <w:rPr>
          <w:b/>
        </w:rPr>
        <w:t>,</w:t>
      </w:r>
      <w:r w:rsidRPr="00455D1A">
        <w:rPr>
          <w:b/>
        </w:rPr>
        <w:t xml:space="preserve"> quindi</w:t>
      </w:r>
      <w:r w:rsidR="007D4E5B" w:rsidRPr="00455D1A">
        <w:rPr>
          <w:b/>
        </w:rPr>
        <w:t>,</w:t>
      </w:r>
      <w:r w:rsidRPr="00455D1A">
        <w:rPr>
          <w:b/>
        </w:rPr>
        <w:t xml:space="preserve"> avviene </w:t>
      </w:r>
      <w:r w:rsidR="003249AF">
        <w:rPr>
          <w:b/>
        </w:rPr>
        <w:t xml:space="preserve">in analogia alla presenza di una </w:t>
      </w:r>
      <w:r w:rsidRPr="00455D1A">
        <w:rPr>
          <w:b/>
        </w:rPr>
        <w:t>locazione</w:t>
      </w:r>
      <w:r w:rsidR="00E337E9">
        <w:rPr>
          <w:b/>
        </w:rPr>
        <w:t xml:space="preserve"> “ordinaria”</w:t>
      </w:r>
      <w:r w:rsidRPr="00455D1A">
        <w:rPr>
          <w:b/>
        </w:rPr>
        <w:t xml:space="preserve">, situazione in cui pure, </w:t>
      </w:r>
      <w:r w:rsidR="007D4E5B" w:rsidRPr="00455D1A">
        <w:rPr>
          <w:b/>
        </w:rPr>
        <w:t xml:space="preserve">appunto, </w:t>
      </w:r>
      <w:r w:rsidRPr="00455D1A">
        <w:rPr>
          <w:b/>
        </w:rPr>
        <w:t xml:space="preserve">l’azione di recupero credito </w:t>
      </w:r>
      <w:r w:rsidR="007D4E5B" w:rsidRPr="00455D1A">
        <w:rPr>
          <w:b/>
        </w:rPr>
        <w:t xml:space="preserve">va proposta </w:t>
      </w:r>
      <w:r w:rsidRPr="00455D1A">
        <w:rPr>
          <w:b/>
        </w:rPr>
        <w:t>nei confronti del locatore e non del con</w:t>
      </w:r>
      <w:r w:rsidR="00AF7E0B">
        <w:rPr>
          <w:b/>
        </w:rPr>
        <w:t>duttore.</w:t>
      </w:r>
    </w:p>
    <w:p w:rsidR="00E86091" w:rsidRPr="00455D1A" w:rsidRDefault="00216C5F" w:rsidP="00F009DB">
      <w:pPr>
        <w:pStyle w:val="NormaleWeb"/>
        <w:spacing w:before="0" w:beforeAutospacing="0" w:after="150" w:afterAutospacing="0" w:line="276" w:lineRule="auto"/>
        <w:jc w:val="both"/>
        <w:rPr>
          <w:b/>
          <w:color w:val="000000"/>
        </w:rPr>
      </w:pPr>
      <w:r w:rsidRPr="00455D1A">
        <w:rPr>
          <w:b/>
        </w:rPr>
        <w:t>Importante differenza, però</w:t>
      </w:r>
      <w:r w:rsidR="000D1E64" w:rsidRPr="00455D1A">
        <w:rPr>
          <w:b/>
        </w:rPr>
        <w:t>,</w:t>
      </w:r>
      <w:r w:rsidRPr="00455D1A">
        <w:rPr>
          <w:b/>
        </w:rPr>
        <w:t xml:space="preserve"> </w:t>
      </w:r>
      <w:r w:rsidR="000D1E64" w:rsidRPr="00455D1A">
        <w:rPr>
          <w:b/>
        </w:rPr>
        <w:t>è</w:t>
      </w:r>
      <w:r w:rsidRPr="00455D1A">
        <w:rPr>
          <w:b/>
        </w:rPr>
        <w:t xml:space="preserve"> che </w:t>
      </w:r>
      <w:r w:rsidR="00AF7E0B">
        <w:rPr>
          <w:b/>
        </w:rPr>
        <w:t>mentre nel</w:t>
      </w:r>
      <w:r w:rsidR="000D1E64" w:rsidRPr="00455D1A">
        <w:rPr>
          <w:b/>
        </w:rPr>
        <w:t>la sentenza in commento</w:t>
      </w:r>
      <w:r w:rsidR="00AF7E0B">
        <w:rPr>
          <w:b/>
        </w:rPr>
        <w:t>, in riferimento a</w:t>
      </w:r>
      <w:r w:rsidR="000D1E64" w:rsidRPr="00455D1A">
        <w:rPr>
          <w:b/>
        </w:rPr>
        <w:t xml:space="preserve">l soggetto legittimato all’impugnazione, </w:t>
      </w:r>
      <w:r w:rsidRPr="00455D1A">
        <w:rPr>
          <w:b/>
        </w:rPr>
        <w:t xml:space="preserve">la S.C. ha ritenuto che il </w:t>
      </w:r>
      <w:r w:rsidR="006E7F40">
        <w:rPr>
          <w:b/>
        </w:rPr>
        <w:t xml:space="preserve">diritto all’impugnazione </w:t>
      </w:r>
      <w:r w:rsidRPr="00455D1A">
        <w:rPr>
          <w:b/>
        </w:rPr>
        <w:t xml:space="preserve"> </w:t>
      </w:r>
      <w:r w:rsidR="00197F23">
        <w:rPr>
          <w:b/>
        </w:rPr>
        <w:t>spett</w:t>
      </w:r>
      <w:r w:rsidR="006E7F40">
        <w:rPr>
          <w:b/>
        </w:rPr>
        <w:t>a</w:t>
      </w:r>
      <w:r w:rsidR="00197F23">
        <w:rPr>
          <w:b/>
        </w:rPr>
        <w:t xml:space="preserve"> al</w:t>
      </w:r>
      <w:r w:rsidR="005C6376">
        <w:rPr>
          <w:b/>
        </w:rPr>
        <w:t>la Società di</w:t>
      </w:r>
      <w:r w:rsidR="00197F23">
        <w:rPr>
          <w:b/>
        </w:rPr>
        <w:t xml:space="preserve"> </w:t>
      </w:r>
      <w:r w:rsidR="005C6376">
        <w:rPr>
          <w:b/>
        </w:rPr>
        <w:t>l</w:t>
      </w:r>
      <w:r w:rsidR="00197F23">
        <w:rPr>
          <w:b/>
        </w:rPr>
        <w:t xml:space="preserve">easing, </w:t>
      </w:r>
      <w:r w:rsidR="005C6376">
        <w:rPr>
          <w:b/>
        </w:rPr>
        <w:t xml:space="preserve">qualora invece la delibera afferisca gli </w:t>
      </w:r>
      <w:r w:rsidRPr="00455D1A">
        <w:rPr>
          <w:b/>
        </w:rPr>
        <w:t xml:space="preserve">oneri </w:t>
      </w:r>
      <w:r w:rsidR="00AF7E0B">
        <w:rPr>
          <w:b/>
        </w:rPr>
        <w:t>locatizi</w:t>
      </w:r>
      <w:r w:rsidR="000F4EEE" w:rsidRPr="00455D1A">
        <w:rPr>
          <w:b/>
          <w:color w:val="000000"/>
        </w:rPr>
        <w:t> </w:t>
      </w:r>
      <w:r w:rsidR="00AF7E0B">
        <w:rPr>
          <w:b/>
          <w:color w:val="000000"/>
        </w:rPr>
        <w:t>(</w:t>
      </w:r>
      <w:r w:rsidR="005C6376">
        <w:rPr>
          <w:b/>
          <w:color w:val="000000"/>
        </w:rPr>
        <w:t>L</w:t>
      </w:r>
      <w:r w:rsidR="005C6376" w:rsidRPr="00455D1A">
        <w:rPr>
          <w:b/>
          <w:color w:val="000000"/>
        </w:rPr>
        <w:t>.</w:t>
      </w:r>
      <w:r w:rsidR="005C6376">
        <w:rPr>
          <w:b/>
          <w:color w:val="000000"/>
        </w:rPr>
        <w:t xml:space="preserve"> </w:t>
      </w:r>
      <w:r w:rsidR="005C6376" w:rsidRPr="00455D1A">
        <w:rPr>
          <w:b/>
          <w:color w:val="000000"/>
        </w:rPr>
        <w:t>392/78</w:t>
      </w:r>
      <w:r w:rsidR="005C6376">
        <w:rPr>
          <w:b/>
          <w:color w:val="000000"/>
        </w:rPr>
        <w:t xml:space="preserve">, </w:t>
      </w:r>
      <w:r w:rsidR="00AF7E0B">
        <w:rPr>
          <w:b/>
          <w:color w:val="000000"/>
        </w:rPr>
        <w:t>c</w:t>
      </w:r>
      <w:r w:rsidR="003249AF">
        <w:rPr>
          <w:b/>
          <w:color w:val="000000"/>
        </w:rPr>
        <w:t xml:space="preserve">.d. </w:t>
      </w:r>
      <w:r w:rsidR="00AF7E0B">
        <w:rPr>
          <w:b/>
          <w:color w:val="000000"/>
        </w:rPr>
        <w:t>“Legge e</w:t>
      </w:r>
      <w:r w:rsidR="003249AF">
        <w:rPr>
          <w:b/>
          <w:color w:val="000000"/>
        </w:rPr>
        <w:t>quo canone”</w:t>
      </w:r>
      <w:r w:rsidR="005C6376">
        <w:rPr>
          <w:b/>
          <w:color w:val="000000"/>
        </w:rPr>
        <w:t>, art. 10</w:t>
      </w:r>
      <w:r w:rsidR="00AF7E0B">
        <w:rPr>
          <w:b/>
          <w:color w:val="000000"/>
        </w:rPr>
        <w:t>: “</w:t>
      </w:r>
      <w:r w:rsidR="00AF7E0B" w:rsidRPr="00455D1A">
        <w:rPr>
          <w:rStyle w:val="Enfasicorsivo"/>
          <w:b/>
          <w:color w:val="000000"/>
        </w:rPr>
        <w:t>Il conduttore ha diritto di voto, in luogo del proprietario dell'appartamento locatogli, nelle delibere dell'assemblea condominiale relative alle spese e alle modalità di gestione dei servizi di riscaldamento e di condizionamento d'aria”</w:t>
      </w:r>
      <w:r w:rsidR="00AF7E0B">
        <w:rPr>
          <w:b/>
          <w:color w:val="000000"/>
        </w:rPr>
        <w:t>)</w:t>
      </w:r>
      <w:r w:rsidR="003249AF">
        <w:rPr>
          <w:b/>
          <w:color w:val="000000"/>
        </w:rPr>
        <w:t xml:space="preserve"> </w:t>
      </w:r>
      <w:r w:rsidR="00AF7E0B">
        <w:rPr>
          <w:b/>
          <w:color w:val="000000"/>
        </w:rPr>
        <w:t xml:space="preserve">tale diritto </w:t>
      </w:r>
      <w:r w:rsidR="006E7F40">
        <w:rPr>
          <w:b/>
        </w:rPr>
        <w:t>spetta</w:t>
      </w:r>
      <w:r w:rsidR="00F009DB" w:rsidRPr="00455D1A">
        <w:rPr>
          <w:b/>
        </w:rPr>
        <w:t xml:space="preserve"> al conduttore</w:t>
      </w:r>
      <w:r w:rsidR="00197F23">
        <w:rPr>
          <w:b/>
        </w:rPr>
        <w:t xml:space="preserve"> </w:t>
      </w:r>
      <w:r w:rsidR="000F4EEE" w:rsidRPr="00455D1A">
        <w:rPr>
          <w:b/>
          <w:color w:val="000000"/>
        </w:rPr>
        <w:t>(Cass. 18 ago</w:t>
      </w:r>
      <w:r w:rsidR="00F009DB" w:rsidRPr="00455D1A">
        <w:rPr>
          <w:b/>
          <w:color w:val="000000"/>
        </w:rPr>
        <w:t>sto 1993 n. 8755</w:t>
      </w:r>
      <w:r w:rsidR="000D1E64" w:rsidRPr="00455D1A">
        <w:rPr>
          <w:b/>
          <w:color w:val="000000"/>
        </w:rPr>
        <w:t xml:space="preserve">; conforme </w:t>
      </w:r>
      <w:r w:rsidR="000D1E64" w:rsidRPr="00455D1A">
        <w:rPr>
          <w:b/>
          <w:i/>
          <w:color w:val="000000"/>
        </w:rPr>
        <w:t>ex pluris</w:t>
      </w:r>
      <w:r w:rsidR="00F009DB" w:rsidRPr="00455D1A">
        <w:rPr>
          <w:b/>
          <w:color w:val="000000"/>
        </w:rPr>
        <w:t xml:space="preserve"> </w:t>
      </w:r>
      <w:r w:rsidR="000F4EEE" w:rsidRPr="00455D1A">
        <w:rPr>
          <w:b/>
          <w:color w:val="000000"/>
        </w:rPr>
        <w:t>Cass. 23 gennaio 2012 n. 869)</w:t>
      </w:r>
      <w:r w:rsidRPr="00455D1A">
        <w:rPr>
          <w:b/>
        </w:rPr>
        <w:t xml:space="preserve">. </w:t>
      </w:r>
    </w:p>
    <w:p w:rsidR="00FC7D63" w:rsidRPr="00603EE6" w:rsidRDefault="00FC7D63" w:rsidP="00FC7D63">
      <w:pPr>
        <w:spacing w:line="240" w:lineRule="auto"/>
        <w:ind w:left="5664" w:firstLine="708"/>
        <w:jc w:val="both"/>
        <w:rPr>
          <w:rFonts w:ascii="Times New Roman" w:hAnsi="Times New Roman" w:cs="Times New Roman"/>
          <w:b/>
          <w:sz w:val="24"/>
          <w:szCs w:val="24"/>
        </w:rPr>
      </w:pPr>
      <w:r w:rsidRPr="00603EE6">
        <w:rPr>
          <w:rFonts w:ascii="Times New Roman" w:hAnsi="Times New Roman" w:cs="Times New Roman"/>
          <w:b/>
          <w:sz w:val="24"/>
          <w:szCs w:val="24"/>
        </w:rPr>
        <w:t>Il Direttore</w:t>
      </w:r>
    </w:p>
    <w:p w:rsidR="00E50E69" w:rsidRPr="00603EE6" w:rsidRDefault="00FC7D63" w:rsidP="001F4B30">
      <w:pPr>
        <w:spacing w:line="240" w:lineRule="auto"/>
        <w:ind w:left="5664"/>
        <w:jc w:val="both"/>
        <w:rPr>
          <w:rFonts w:ascii="Times New Roman" w:hAnsi="Times New Roman" w:cs="Times New Roman"/>
          <w:b/>
          <w:sz w:val="24"/>
          <w:szCs w:val="24"/>
        </w:rPr>
      </w:pPr>
      <w:r w:rsidRPr="00603EE6">
        <w:rPr>
          <w:rFonts w:ascii="Times New Roman" w:hAnsi="Times New Roman" w:cs="Times New Roman"/>
          <w:b/>
          <w:sz w:val="24"/>
          <w:szCs w:val="24"/>
        </w:rPr>
        <w:t xml:space="preserve">   Avv. Gabriele Monari</w:t>
      </w:r>
    </w:p>
    <w:sectPr w:rsidR="00E50E69" w:rsidRPr="00603EE6"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24" w:rsidRDefault="00E31F24" w:rsidP="0012189C">
      <w:pPr>
        <w:spacing w:after="0" w:line="240" w:lineRule="auto"/>
      </w:pPr>
      <w:r>
        <w:separator/>
      </w:r>
    </w:p>
  </w:endnote>
  <w:endnote w:type="continuationSeparator" w:id="0">
    <w:p w:rsidR="00E31F24" w:rsidRDefault="00E31F24"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24" w:rsidRDefault="00E31F24" w:rsidP="0012189C">
      <w:pPr>
        <w:spacing w:after="0" w:line="240" w:lineRule="auto"/>
      </w:pPr>
      <w:r>
        <w:separator/>
      </w:r>
    </w:p>
  </w:footnote>
  <w:footnote w:type="continuationSeparator" w:id="0">
    <w:p w:rsidR="00E31F24" w:rsidRDefault="00E31F24"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Cod.Fisc</w:t>
    </w:r>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25622"/>
    <w:rsid w:val="00044951"/>
    <w:rsid w:val="00047CC5"/>
    <w:rsid w:val="00061742"/>
    <w:rsid w:val="00075137"/>
    <w:rsid w:val="00076AC0"/>
    <w:rsid w:val="00081B92"/>
    <w:rsid w:val="00093ED0"/>
    <w:rsid w:val="000A4656"/>
    <w:rsid w:val="000B0F47"/>
    <w:rsid w:val="000B128D"/>
    <w:rsid w:val="000C0356"/>
    <w:rsid w:val="000C6C80"/>
    <w:rsid w:val="000D1E64"/>
    <w:rsid w:val="000D6A21"/>
    <w:rsid w:val="000F4EEE"/>
    <w:rsid w:val="001012C5"/>
    <w:rsid w:val="001033F3"/>
    <w:rsid w:val="0012189C"/>
    <w:rsid w:val="00123C95"/>
    <w:rsid w:val="0012642B"/>
    <w:rsid w:val="001426AD"/>
    <w:rsid w:val="00172F10"/>
    <w:rsid w:val="00187562"/>
    <w:rsid w:val="00193EFE"/>
    <w:rsid w:val="00194F57"/>
    <w:rsid w:val="00195319"/>
    <w:rsid w:val="00197F23"/>
    <w:rsid w:val="001C4470"/>
    <w:rsid w:val="001E09A2"/>
    <w:rsid w:val="001F4B30"/>
    <w:rsid w:val="001F6365"/>
    <w:rsid w:val="00203311"/>
    <w:rsid w:val="00213BF6"/>
    <w:rsid w:val="00216C5F"/>
    <w:rsid w:val="00240444"/>
    <w:rsid w:val="00252D75"/>
    <w:rsid w:val="00264BFC"/>
    <w:rsid w:val="00284A12"/>
    <w:rsid w:val="002A2D60"/>
    <w:rsid w:val="002C4FA7"/>
    <w:rsid w:val="002C6AE1"/>
    <w:rsid w:val="002D3501"/>
    <w:rsid w:val="002F316B"/>
    <w:rsid w:val="003016CD"/>
    <w:rsid w:val="0032007C"/>
    <w:rsid w:val="003249AF"/>
    <w:rsid w:val="00326D36"/>
    <w:rsid w:val="003416D7"/>
    <w:rsid w:val="00360FA5"/>
    <w:rsid w:val="00365A73"/>
    <w:rsid w:val="003968EB"/>
    <w:rsid w:val="00397219"/>
    <w:rsid w:val="003A408E"/>
    <w:rsid w:val="003B469C"/>
    <w:rsid w:val="003B725E"/>
    <w:rsid w:val="003C2E6E"/>
    <w:rsid w:val="003D5ABE"/>
    <w:rsid w:val="003E34D0"/>
    <w:rsid w:val="003F6453"/>
    <w:rsid w:val="00415C2A"/>
    <w:rsid w:val="00416A3D"/>
    <w:rsid w:val="00416CD9"/>
    <w:rsid w:val="00436400"/>
    <w:rsid w:val="00455D1A"/>
    <w:rsid w:val="00460EB1"/>
    <w:rsid w:val="00461EEE"/>
    <w:rsid w:val="004730F7"/>
    <w:rsid w:val="00476449"/>
    <w:rsid w:val="00484F18"/>
    <w:rsid w:val="00486A1B"/>
    <w:rsid w:val="0048707C"/>
    <w:rsid w:val="00493E71"/>
    <w:rsid w:val="004A0A0B"/>
    <w:rsid w:val="004A2ACA"/>
    <w:rsid w:val="004B120B"/>
    <w:rsid w:val="004B2946"/>
    <w:rsid w:val="004B44D5"/>
    <w:rsid w:val="004D5CDE"/>
    <w:rsid w:val="004F10A2"/>
    <w:rsid w:val="004F1357"/>
    <w:rsid w:val="00505E51"/>
    <w:rsid w:val="0051534B"/>
    <w:rsid w:val="005209B1"/>
    <w:rsid w:val="005330AA"/>
    <w:rsid w:val="00547F57"/>
    <w:rsid w:val="00551E0A"/>
    <w:rsid w:val="00570D80"/>
    <w:rsid w:val="00590F0D"/>
    <w:rsid w:val="00594DE9"/>
    <w:rsid w:val="005A613E"/>
    <w:rsid w:val="005C6376"/>
    <w:rsid w:val="005D3AC7"/>
    <w:rsid w:val="005E06F9"/>
    <w:rsid w:val="005E603C"/>
    <w:rsid w:val="00603111"/>
    <w:rsid w:val="00603EE6"/>
    <w:rsid w:val="006051B2"/>
    <w:rsid w:val="00611CFB"/>
    <w:rsid w:val="00631383"/>
    <w:rsid w:val="00636A8E"/>
    <w:rsid w:val="00640D73"/>
    <w:rsid w:val="00646500"/>
    <w:rsid w:val="006476D6"/>
    <w:rsid w:val="006569D6"/>
    <w:rsid w:val="00685863"/>
    <w:rsid w:val="00694F70"/>
    <w:rsid w:val="006957A5"/>
    <w:rsid w:val="00696E18"/>
    <w:rsid w:val="006A0862"/>
    <w:rsid w:val="006A109A"/>
    <w:rsid w:val="006A1358"/>
    <w:rsid w:val="006B2619"/>
    <w:rsid w:val="006B3127"/>
    <w:rsid w:val="006D2E90"/>
    <w:rsid w:val="006E7F40"/>
    <w:rsid w:val="006F07CE"/>
    <w:rsid w:val="006F5E23"/>
    <w:rsid w:val="00710052"/>
    <w:rsid w:val="00732501"/>
    <w:rsid w:val="00765897"/>
    <w:rsid w:val="00780C4A"/>
    <w:rsid w:val="007911F9"/>
    <w:rsid w:val="007A73EE"/>
    <w:rsid w:val="007C1026"/>
    <w:rsid w:val="007C5374"/>
    <w:rsid w:val="007C6886"/>
    <w:rsid w:val="007D3AA1"/>
    <w:rsid w:val="007D4E5B"/>
    <w:rsid w:val="00810591"/>
    <w:rsid w:val="008203B6"/>
    <w:rsid w:val="00854C19"/>
    <w:rsid w:val="008575BE"/>
    <w:rsid w:val="00862601"/>
    <w:rsid w:val="0086770B"/>
    <w:rsid w:val="00870130"/>
    <w:rsid w:val="00875B4F"/>
    <w:rsid w:val="008A3623"/>
    <w:rsid w:val="008D7B9B"/>
    <w:rsid w:val="00913B5D"/>
    <w:rsid w:val="009267DC"/>
    <w:rsid w:val="00940EC7"/>
    <w:rsid w:val="00942525"/>
    <w:rsid w:val="009428E2"/>
    <w:rsid w:val="009441DE"/>
    <w:rsid w:val="0095003E"/>
    <w:rsid w:val="00955F0C"/>
    <w:rsid w:val="0097426F"/>
    <w:rsid w:val="00976925"/>
    <w:rsid w:val="009907DE"/>
    <w:rsid w:val="009D0250"/>
    <w:rsid w:val="009D7894"/>
    <w:rsid w:val="009E470D"/>
    <w:rsid w:val="009E63DA"/>
    <w:rsid w:val="009F795B"/>
    <w:rsid w:val="00A227EA"/>
    <w:rsid w:val="00A32ABA"/>
    <w:rsid w:val="00A32B48"/>
    <w:rsid w:val="00A426E6"/>
    <w:rsid w:val="00A64005"/>
    <w:rsid w:val="00A77FF0"/>
    <w:rsid w:val="00A83782"/>
    <w:rsid w:val="00A83E2D"/>
    <w:rsid w:val="00A91851"/>
    <w:rsid w:val="00AA6338"/>
    <w:rsid w:val="00AC5FFA"/>
    <w:rsid w:val="00AC7A19"/>
    <w:rsid w:val="00AF7E0B"/>
    <w:rsid w:val="00B209CB"/>
    <w:rsid w:val="00B351BA"/>
    <w:rsid w:val="00B7351D"/>
    <w:rsid w:val="00B74077"/>
    <w:rsid w:val="00B7604B"/>
    <w:rsid w:val="00B93E00"/>
    <w:rsid w:val="00B94016"/>
    <w:rsid w:val="00BA1ACD"/>
    <w:rsid w:val="00BA50DE"/>
    <w:rsid w:val="00BB05E2"/>
    <w:rsid w:val="00BB3179"/>
    <w:rsid w:val="00BB7872"/>
    <w:rsid w:val="00BD7ACB"/>
    <w:rsid w:val="00BE1F99"/>
    <w:rsid w:val="00BE431A"/>
    <w:rsid w:val="00BE714D"/>
    <w:rsid w:val="00BF0E7F"/>
    <w:rsid w:val="00C02A2E"/>
    <w:rsid w:val="00C05513"/>
    <w:rsid w:val="00C11CAF"/>
    <w:rsid w:val="00C418B6"/>
    <w:rsid w:val="00C432B1"/>
    <w:rsid w:val="00C62AB9"/>
    <w:rsid w:val="00C6464A"/>
    <w:rsid w:val="00C91958"/>
    <w:rsid w:val="00CB40CC"/>
    <w:rsid w:val="00CB6984"/>
    <w:rsid w:val="00CF7ADD"/>
    <w:rsid w:val="00D11A33"/>
    <w:rsid w:val="00D21DF4"/>
    <w:rsid w:val="00D745DA"/>
    <w:rsid w:val="00D8346A"/>
    <w:rsid w:val="00D972C3"/>
    <w:rsid w:val="00DB24B5"/>
    <w:rsid w:val="00DC2C68"/>
    <w:rsid w:val="00DC69B8"/>
    <w:rsid w:val="00DC7B62"/>
    <w:rsid w:val="00DD1B49"/>
    <w:rsid w:val="00DE0413"/>
    <w:rsid w:val="00E318C6"/>
    <w:rsid w:val="00E31F24"/>
    <w:rsid w:val="00E337E9"/>
    <w:rsid w:val="00E455EE"/>
    <w:rsid w:val="00E50E69"/>
    <w:rsid w:val="00E5501C"/>
    <w:rsid w:val="00E62C81"/>
    <w:rsid w:val="00E84E86"/>
    <w:rsid w:val="00E86091"/>
    <w:rsid w:val="00E92115"/>
    <w:rsid w:val="00EB20C5"/>
    <w:rsid w:val="00EB4F4D"/>
    <w:rsid w:val="00EB6FC2"/>
    <w:rsid w:val="00ED36FA"/>
    <w:rsid w:val="00ED6D2E"/>
    <w:rsid w:val="00EE2E1A"/>
    <w:rsid w:val="00EF769D"/>
    <w:rsid w:val="00F009DB"/>
    <w:rsid w:val="00F01367"/>
    <w:rsid w:val="00F1238A"/>
    <w:rsid w:val="00F1769B"/>
    <w:rsid w:val="00F20464"/>
    <w:rsid w:val="00F27EAD"/>
    <w:rsid w:val="00F5121C"/>
    <w:rsid w:val="00F75608"/>
    <w:rsid w:val="00F80644"/>
    <w:rsid w:val="00FB69ED"/>
    <w:rsid w:val="00FC7D63"/>
    <w:rsid w:val="00FD47AB"/>
    <w:rsid w:val="00FE11ED"/>
    <w:rsid w:val="00FE2600"/>
    <w:rsid w:val="00FF0F0D"/>
    <w:rsid w:val="00FF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27EA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27EA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47">
      <w:bodyDiv w:val="1"/>
      <w:marLeft w:val="0"/>
      <w:marRight w:val="0"/>
      <w:marTop w:val="0"/>
      <w:marBottom w:val="0"/>
      <w:divBdr>
        <w:top w:val="none" w:sz="0" w:space="0" w:color="auto"/>
        <w:left w:val="none" w:sz="0" w:space="0" w:color="auto"/>
        <w:bottom w:val="none" w:sz="0" w:space="0" w:color="auto"/>
        <w:right w:val="none" w:sz="0" w:space="0" w:color="auto"/>
      </w:divBdr>
    </w:div>
    <w:div w:id="27220977">
      <w:bodyDiv w:val="1"/>
      <w:marLeft w:val="0"/>
      <w:marRight w:val="0"/>
      <w:marTop w:val="0"/>
      <w:marBottom w:val="0"/>
      <w:divBdr>
        <w:top w:val="none" w:sz="0" w:space="0" w:color="auto"/>
        <w:left w:val="none" w:sz="0" w:space="0" w:color="auto"/>
        <w:bottom w:val="none" w:sz="0" w:space="0" w:color="auto"/>
        <w:right w:val="none" w:sz="0" w:space="0" w:color="auto"/>
      </w:divBdr>
    </w:div>
    <w:div w:id="579677572">
      <w:bodyDiv w:val="1"/>
      <w:marLeft w:val="0"/>
      <w:marRight w:val="0"/>
      <w:marTop w:val="0"/>
      <w:marBottom w:val="0"/>
      <w:divBdr>
        <w:top w:val="none" w:sz="0" w:space="0" w:color="auto"/>
        <w:left w:val="none" w:sz="0" w:space="0" w:color="auto"/>
        <w:bottom w:val="none" w:sz="0" w:space="0" w:color="auto"/>
        <w:right w:val="none" w:sz="0" w:space="0" w:color="auto"/>
      </w:divBdr>
    </w:div>
    <w:div w:id="635569461">
      <w:bodyDiv w:val="1"/>
      <w:marLeft w:val="0"/>
      <w:marRight w:val="0"/>
      <w:marTop w:val="0"/>
      <w:marBottom w:val="0"/>
      <w:divBdr>
        <w:top w:val="none" w:sz="0" w:space="0" w:color="auto"/>
        <w:left w:val="none" w:sz="0" w:space="0" w:color="auto"/>
        <w:bottom w:val="none" w:sz="0" w:space="0" w:color="auto"/>
        <w:right w:val="none" w:sz="0" w:space="0" w:color="auto"/>
      </w:divBdr>
    </w:div>
    <w:div w:id="691494264">
      <w:bodyDiv w:val="1"/>
      <w:marLeft w:val="0"/>
      <w:marRight w:val="0"/>
      <w:marTop w:val="0"/>
      <w:marBottom w:val="0"/>
      <w:divBdr>
        <w:top w:val="none" w:sz="0" w:space="0" w:color="auto"/>
        <w:left w:val="none" w:sz="0" w:space="0" w:color="auto"/>
        <w:bottom w:val="none" w:sz="0" w:space="0" w:color="auto"/>
        <w:right w:val="none" w:sz="0" w:space="0" w:color="auto"/>
      </w:divBdr>
    </w:div>
    <w:div w:id="1941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2019-05-17T07:49:00Z</cp:lastPrinted>
  <dcterms:created xsi:type="dcterms:W3CDTF">2019-06-20T08:26:00Z</dcterms:created>
  <dcterms:modified xsi:type="dcterms:W3CDTF">2019-06-20T08:26:00Z</dcterms:modified>
</cp:coreProperties>
</file>