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5F" w:rsidRDefault="00D2245F" w:rsidP="00D2245F">
      <w:pPr>
        <w:jc w:val="right"/>
        <w:rPr>
          <w:sz w:val="26"/>
        </w:rPr>
      </w:pPr>
      <w:r>
        <w:rPr>
          <w:sz w:val="26"/>
        </w:rPr>
        <w:t>SPETT.LE</w:t>
      </w:r>
    </w:p>
    <w:p w:rsidR="00D2245F" w:rsidRDefault="00D2245F" w:rsidP="00D2245F">
      <w:pPr>
        <w:pStyle w:val="Titolo2"/>
        <w:rPr>
          <w:sz w:val="26"/>
        </w:rPr>
      </w:pPr>
      <w:r>
        <w:rPr>
          <w:sz w:val="26"/>
        </w:rPr>
        <w:t>ANACI PROVINCIA DI BOLOGNA</w:t>
      </w:r>
    </w:p>
    <w:p w:rsidR="00D2245F" w:rsidRDefault="00D2245F" w:rsidP="00D2245F">
      <w:pPr>
        <w:pStyle w:val="Titolo2"/>
        <w:rPr>
          <w:sz w:val="26"/>
        </w:rPr>
      </w:pPr>
      <w:r>
        <w:rPr>
          <w:sz w:val="26"/>
        </w:rPr>
        <w:t>ANACI REGIONE EMILIA ROMAGNA</w:t>
      </w:r>
    </w:p>
    <w:p w:rsidR="00D2245F" w:rsidRDefault="00D2245F" w:rsidP="00D2245F">
      <w:pPr>
        <w:rPr>
          <w:sz w:val="26"/>
        </w:rPr>
      </w:pPr>
    </w:p>
    <w:p w:rsidR="00D2245F" w:rsidRDefault="00D2245F" w:rsidP="00D2245F">
      <w:pPr>
        <w:rPr>
          <w:sz w:val="26"/>
        </w:rPr>
      </w:pPr>
      <w:r w:rsidRPr="00AE6913">
        <w:rPr>
          <w:sz w:val="26"/>
        </w:rPr>
        <w:t xml:space="preserve">Bologna, </w:t>
      </w:r>
      <w:r w:rsidR="00AE6913" w:rsidRPr="00AE6913">
        <w:rPr>
          <w:sz w:val="26"/>
        </w:rPr>
        <w:t>20 settembre</w:t>
      </w:r>
      <w:r w:rsidRPr="00AE6913">
        <w:rPr>
          <w:sz w:val="26"/>
        </w:rPr>
        <w:t xml:space="preserve"> 201</w:t>
      </w:r>
      <w:r w:rsidR="00AE6913" w:rsidRPr="00AE6913">
        <w:rPr>
          <w:sz w:val="26"/>
        </w:rPr>
        <w:t>8</w:t>
      </w:r>
    </w:p>
    <w:p w:rsidR="00AA6E7B" w:rsidRDefault="00D2245F" w:rsidP="00D2245F">
      <w:pPr>
        <w:jc w:val="both"/>
      </w:pPr>
      <w:r w:rsidRPr="000D07E5">
        <w:rPr>
          <w:b/>
          <w:sz w:val="26"/>
        </w:rPr>
        <w:t xml:space="preserve">Oggetto: </w:t>
      </w:r>
      <w:r w:rsidR="00A62098">
        <w:rPr>
          <w:b/>
          <w:sz w:val="26"/>
        </w:rPr>
        <w:t>OBBLIGO DI ISCRIZIONE ALLA GESTIONE COMMERCIANTI INPS DELL’AMMINISTRATORE CONDOMINIALE SOCIO DI SOCIET</w:t>
      </w:r>
      <w:r w:rsidR="00F623CA">
        <w:rPr>
          <w:b/>
          <w:sz w:val="26"/>
        </w:rPr>
        <w:t>A’</w:t>
      </w:r>
      <w:r w:rsidR="00A62098">
        <w:rPr>
          <w:b/>
          <w:sz w:val="26"/>
        </w:rPr>
        <w:t xml:space="preserve"> IN NOME COLLETTIVO O SOCIETA’ A RESPONSABILITA LIMITATA – SENT. CASSAZIONE 21900/2018</w:t>
      </w:r>
    </w:p>
    <w:p w:rsidR="00F623CA" w:rsidRDefault="00A62098" w:rsidP="00A62098">
      <w:pPr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</w:p>
    <w:p w:rsidR="000C75FA" w:rsidRDefault="00F623CA" w:rsidP="00A62098">
      <w:pPr>
        <w:spacing w:after="0" w:line="360" w:lineRule="auto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A62098" w:rsidRPr="00A62098">
        <w:rPr>
          <w:rFonts w:cs="Times New Roman"/>
          <w:sz w:val="26"/>
          <w:szCs w:val="26"/>
        </w:rPr>
        <w:t>Con sentenza n. 21900/2018 la Corte di Cassazione, sezione lavoro, ha disposto che l</w:t>
      </w:r>
      <w:r w:rsidR="00A62098" w:rsidRPr="00A62098">
        <w:rPr>
          <w:color w:val="000000"/>
          <w:sz w:val="26"/>
          <w:szCs w:val="26"/>
        </w:rPr>
        <w:t xml:space="preserve">'attività di amministratore di condominio, da un punto di vista contributivo e </w:t>
      </w:r>
      <w:r w:rsidR="00A62098">
        <w:rPr>
          <w:color w:val="000000"/>
          <w:sz w:val="26"/>
          <w:szCs w:val="26"/>
        </w:rPr>
        <w:t>p</w:t>
      </w:r>
      <w:r w:rsidR="00A62098" w:rsidRPr="00A62098">
        <w:rPr>
          <w:color w:val="000000"/>
          <w:sz w:val="26"/>
          <w:szCs w:val="26"/>
        </w:rPr>
        <w:t>revidenziale, quando sia svolta in forma societ</w:t>
      </w:r>
      <w:r w:rsidR="00232277">
        <w:rPr>
          <w:color w:val="000000"/>
          <w:sz w:val="26"/>
          <w:szCs w:val="26"/>
        </w:rPr>
        <w:t>aria, impone l'iscrizione alla G</w:t>
      </w:r>
      <w:r w:rsidR="00A62098" w:rsidRPr="00A62098">
        <w:rPr>
          <w:color w:val="000000"/>
          <w:sz w:val="26"/>
          <w:szCs w:val="26"/>
        </w:rPr>
        <w:t xml:space="preserve">estione </w:t>
      </w:r>
      <w:r w:rsidR="00232277">
        <w:rPr>
          <w:color w:val="000000"/>
          <w:sz w:val="26"/>
          <w:szCs w:val="26"/>
        </w:rPr>
        <w:t>C</w:t>
      </w:r>
      <w:r w:rsidR="00A62098" w:rsidRPr="00A62098">
        <w:rPr>
          <w:color w:val="000000"/>
          <w:sz w:val="26"/>
          <w:szCs w:val="26"/>
        </w:rPr>
        <w:t xml:space="preserve">ommercianti </w:t>
      </w:r>
      <w:r w:rsidR="00232277">
        <w:rPr>
          <w:color w:val="000000"/>
          <w:sz w:val="26"/>
          <w:szCs w:val="26"/>
        </w:rPr>
        <w:t xml:space="preserve">INPS </w:t>
      </w:r>
      <w:r w:rsidR="00A62098" w:rsidRPr="00A62098">
        <w:rPr>
          <w:color w:val="000000"/>
          <w:sz w:val="26"/>
          <w:szCs w:val="26"/>
        </w:rPr>
        <w:t>dell'amministratore</w:t>
      </w:r>
      <w:r w:rsidR="00A62098">
        <w:rPr>
          <w:color w:val="000000"/>
          <w:sz w:val="26"/>
          <w:szCs w:val="26"/>
        </w:rPr>
        <w:t xml:space="preserve"> socio che la eserciti</w:t>
      </w:r>
      <w:r w:rsidR="00232277">
        <w:rPr>
          <w:color w:val="000000"/>
          <w:sz w:val="26"/>
          <w:szCs w:val="26"/>
        </w:rPr>
        <w:t xml:space="preserve"> e non a quella </w:t>
      </w:r>
      <w:r w:rsidR="0006717B">
        <w:rPr>
          <w:color w:val="000000"/>
          <w:sz w:val="26"/>
          <w:szCs w:val="26"/>
        </w:rPr>
        <w:t xml:space="preserve">della Gestione </w:t>
      </w:r>
      <w:r w:rsidR="00232277">
        <w:rPr>
          <w:color w:val="000000"/>
          <w:sz w:val="26"/>
          <w:szCs w:val="26"/>
        </w:rPr>
        <w:t xml:space="preserve">Separata </w:t>
      </w:r>
      <w:r w:rsidR="0006717B">
        <w:rPr>
          <w:color w:val="000000"/>
          <w:sz w:val="26"/>
          <w:szCs w:val="26"/>
        </w:rPr>
        <w:t xml:space="preserve">INPS </w:t>
      </w:r>
      <w:r w:rsidR="00232277">
        <w:rPr>
          <w:color w:val="000000"/>
          <w:sz w:val="26"/>
          <w:szCs w:val="26"/>
        </w:rPr>
        <w:t xml:space="preserve">relativa alle professioni </w:t>
      </w:r>
      <w:r w:rsidR="00E53F2B">
        <w:rPr>
          <w:color w:val="000000"/>
          <w:sz w:val="26"/>
          <w:szCs w:val="26"/>
        </w:rPr>
        <w:t xml:space="preserve">non </w:t>
      </w:r>
      <w:r w:rsidR="00232277">
        <w:rPr>
          <w:color w:val="000000"/>
          <w:sz w:val="26"/>
          <w:szCs w:val="26"/>
        </w:rPr>
        <w:t>ordinistiche</w:t>
      </w:r>
      <w:r w:rsidR="00A62098">
        <w:rPr>
          <w:color w:val="000000"/>
          <w:sz w:val="26"/>
          <w:szCs w:val="26"/>
        </w:rPr>
        <w:t>.</w:t>
      </w:r>
      <w:r w:rsidR="00A62098" w:rsidRPr="00A62098">
        <w:rPr>
          <w:color w:val="000000"/>
          <w:sz w:val="26"/>
          <w:szCs w:val="26"/>
        </w:rPr>
        <w:br/>
      </w:r>
      <w:r w:rsidR="00232277">
        <w:rPr>
          <w:rFonts w:cs="Times New Roman"/>
          <w:sz w:val="26"/>
          <w:szCs w:val="26"/>
        </w:rPr>
        <w:tab/>
      </w:r>
      <w:r w:rsidR="00C01540">
        <w:rPr>
          <w:sz w:val="26"/>
          <w:szCs w:val="26"/>
        </w:rPr>
        <w:t xml:space="preserve">Occorre ricordare </w:t>
      </w:r>
      <w:r w:rsidR="00A55AFC">
        <w:rPr>
          <w:sz w:val="26"/>
          <w:szCs w:val="26"/>
        </w:rPr>
        <w:t xml:space="preserve">che </w:t>
      </w:r>
      <w:r w:rsidR="000C75FA">
        <w:rPr>
          <w:sz w:val="26"/>
          <w:szCs w:val="26"/>
        </w:rPr>
        <w:t xml:space="preserve">la legge 220/2012 di riforma del condominio, recependo i precedenti orientamenti della Cassazione, ha introdotto </w:t>
      </w:r>
      <w:r w:rsidR="00C01540">
        <w:rPr>
          <w:sz w:val="26"/>
          <w:szCs w:val="26"/>
        </w:rPr>
        <w:t>l’articolo 71-bis</w:t>
      </w:r>
      <w:r w:rsidR="000C75FA">
        <w:rPr>
          <w:sz w:val="26"/>
          <w:szCs w:val="26"/>
        </w:rPr>
        <w:t xml:space="preserve"> delle disposizioni di attuazione del codice civile che permette alle società di persone e alle società di capitali di assumere l’incarico di amministratore condominiale, sempreché i requisiti per assumere tale ufficio siano posseduti dai soci illimitatamente responsabili, dagli amministratori e dai dipendenti incaricati di svolgere le funzioni di amministrazione dei condominii a favore dei quali la società presta i servizi.</w:t>
      </w:r>
    </w:p>
    <w:p w:rsidR="00BD639C" w:rsidRDefault="00C01540" w:rsidP="00A62098">
      <w:pPr>
        <w:spacing w:after="0" w:line="360" w:lineRule="auto"/>
        <w:jc w:val="both"/>
        <w:rPr>
          <w:rFonts w:ascii="Lora" w:hAnsi="Lora"/>
          <w:color w:val="000000"/>
        </w:rPr>
      </w:pPr>
      <w:r>
        <w:rPr>
          <w:sz w:val="26"/>
          <w:szCs w:val="26"/>
        </w:rPr>
        <w:tab/>
      </w:r>
      <w:r w:rsidR="00232277">
        <w:rPr>
          <w:rFonts w:cs="Times New Roman"/>
          <w:sz w:val="26"/>
          <w:szCs w:val="26"/>
        </w:rPr>
        <w:t>Nel caso in esame, la Corte si è espressa con riferimento ad un amministratore che svolgeva la propria attività tramite una società in nome collettivo di cui era socio insieme alla moglie, rilevando che, contrariamente a quanto sostenuto dall’amministratore che aveva eccepito la natura meramente professionale ed intellettuale della propria attività tenuto conto inoltre dell’assenza di dipendenti in capo alla Snc</w:t>
      </w:r>
      <w:r w:rsidR="00232277" w:rsidRPr="001A5E60">
        <w:rPr>
          <w:rFonts w:cs="Times New Roman"/>
          <w:sz w:val="26"/>
          <w:szCs w:val="26"/>
        </w:rPr>
        <w:t xml:space="preserve">, </w:t>
      </w:r>
      <w:r w:rsidR="001A5E60" w:rsidRPr="001A5E60">
        <w:rPr>
          <w:color w:val="000000"/>
          <w:sz w:val="26"/>
          <w:szCs w:val="26"/>
        </w:rPr>
        <w:t xml:space="preserve">la natura commerciale </w:t>
      </w:r>
      <w:r w:rsidR="00C34724">
        <w:rPr>
          <w:color w:val="000000"/>
          <w:sz w:val="26"/>
          <w:szCs w:val="26"/>
        </w:rPr>
        <w:t xml:space="preserve">(e non professionale/intellettuale) </w:t>
      </w:r>
      <w:bookmarkStart w:id="0" w:name="_GoBack"/>
      <w:bookmarkEnd w:id="0"/>
      <w:r w:rsidR="001A5E60" w:rsidRPr="001A5E60">
        <w:rPr>
          <w:color w:val="000000"/>
          <w:sz w:val="26"/>
          <w:szCs w:val="26"/>
        </w:rPr>
        <w:t xml:space="preserve">non deriva dalla tipologia dell'attività, ma dal fatto che venga svolta in forma </w:t>
      </w:r>
      <w:r w:rsidR="00C34724">
        <w:rPr>
          <w:color w:val="000000"/>
          <w:sz w:val="26"/>
          <w:szCs w:val="26"/>
        </w:rPr>
        <w:t xml:space="preserve">di </w:t>
      </w:r>
      <w:r w:rsidR="001A5E60" w:rsidRPr="001A5E60">
        <w:rPr>
          <w:color w:val="000000"/>
          <w:sz w:val="26"/>
          <w:szCs w:val="26"/>
        </w:rPr>
        <w:t>impre</w:t>
      </w:r>
      <w:r w:rsidR="00C34724">
        <w:rPr>
          <w:color w:val="000000"/>
          <w:sz w:val="26"/>
          <w:szCs w:val="26"/>
        </w:rPr>
        <w:t>sa societaria</w:t>
      </w:r>
      <w:r w:rsidR="00BD639C">
        <w:rPr>
          <w:color w:val="000000"/>
          <w:sz w:val="26"/>
          <w:szCs w:val="26"/>
        </w:rPr>
        <w:t>,</w:t>
      </w:r>
      <w:r w:rsidR="00C34724">
        <w:rPr>
          <w:color w:val="000000"/>
          <w:sz w:val="26"/>
          <w:szCs w:val="26"/>
        </w:rPr>
        <w:t xml:space="preserve"> a prescinder</w:t>
      </w:r>
      <w:r w:rsidR="00BD639C">
        <w:rPr>
          <w:color w:val="000000"/>
          <w:sz w:val="26"/>
          <w:szCs w:val="26"/>
        </w:rPr>
        <w:t xml:space="preserve">e dalla dimensione della </w:t>
      </w:r>
      <w:r w:rsidR="00BD639C">
        <w:rPr>
          <w:color w:val="000000"/>
          <w:sz w:val="26"/>
          <w:szCs w:val="26"/>
        </w:rPr>
        <w:lastRenderedPageBreak/>
        <w:t>stessa, e che venga gestita come titolare o come familiare coadiutore o anche come socio di società a responsabilità limitata</w:t>
      </w:r>
      <w:r w:rsidR="00BD639C" w:rsidRPr="00BD639C">
        <w:rPr>
          <w:color w:val="000000"/>
          <w:sz w:val="26"/>
          <w:szCs w:val="26"/>
        </w:rPr>
        <w:t>.</w:t>
      </w:r>
    </w:p>
    <w:p w:rsidR="00C01540" w:rsidRDefault="00B60544" w:rsidP="00A62098">
      <w:pPr>
        <w:spacing w:after="0" w:line="360" w:lineRule="auto"/>
        <w:jc w:val="both"/>
        <w:rPr>
          <w:color w:val="000000"/>
          <w:sz w:val="26"/>
          <w:szCs w:val="26"/>
        </w:rPr>
      </w:pPr>
      <w:r w:rsidRPr="00B60544">
        <w:rPr>
          <w:color w:val="000000"/>
          <w:sz w:val="26"/>
          <w:szCs w:val="26"/>
        </w:rPr>
        <w:tab/>
        <w:t>Inoltre, la Corte nel ribadire che resta a carico dell’Inps l'onere di provare l'abitualità e la prevalenza di tale attività in riferimento allo svolgimento eventuale di altre attività lavorative</w:t>
      </w:r>
      <w:r w:rsidR="00C01540">
        <w:rPr>
          <w:color w:val="000000"/>
          <w:sz w:val="26"/>
          <w:szCs w:val="26"/>
        </w:rPr>
        <w:t>, ha rigettato le tesi dell’amministratore anche nella considerazione che nel caso specifico non si poneva neppure la questione dell’eventuale doppia iscrizione ad altra cassa previdenziale del medesimo in quanto pensionato e non svolgente altra attività soggette a diverse forme di contribuzione.</w:t>
      </w:r>
    </w:p>
    <w:p w:rsidR="00BA44EA" w:rsidRDefault="00BA44EA" w:rsidP="001F0580">
      <w:pPr>
        <w:pStyle w:val="Rientrocorpodeltesto"/>
        <w:ind w:left="4956"/>
        <w:rPr>
          <w:rFonts w:asciiTheme="minorHAnsi" w:hAnsiTheme="minorHAnsi"/>
          <w:sz w:val="26"/>
        </w:rPr>
      </w:pPr>
    </w:p>
    <w:p w:rsidR="001F0580" w:rsidRPr="001F0580" w:rsidRDefault="001F0580" w:rsidP="001F0580">
      <w:pPr>
        <w:pStyle w:val="Rientrocorpodeltesto"/>
        <w:ind w:left="4956"/>
        <w:rPr>
          <w:rFonts w:asciiTheme="minorHAnsi" w:hAnsiTheme="minorHAnsi"/>
          <w:sz w:val="26"/>
        </w:rPr>
      </w:pPr>
      <w:r w:rsidRPr="001F0580">
        <w:rPr>
          <w:rFonts w:asciiTheme="minorHAnsi" w:hAnsiTheme="minorHAnsi"/>
          <w:sz w:val="26"/>
        </w:rPr>
        <w:tab/>
        <w:t>Studio Calzolari</w:t>
      </w:r>
    </w:p>
    <w:p w:rsidR="001F0580" w:rsidRPr="002C6AB5" w:rsidRDefault="001F0580" w:rsidP="001F0580">
      <w:pPr>
        <w:rPr>
          <w:rFonts w:ascii="Times New Roman" w:hAnsi="Times New Roman" w:cs="Times New Roman"/>
          <w:sz w:val="26"/>
          <w:szCs w:val="26"/>
        </w:rPr>
      </w:pPr>
    </w:p>
    <w:p w:rsidR="001F0580" w:rsidRDefault="001F0580" w:rsidP="00D2245F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BA44EA" w:rsidRDefault="00BA44EA" w:rsidP="00D2245F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BA44EA" w:rsidRDefault="00BA44EA" w:rsidP="00D2245F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sectPr w:rsidR="00BA44E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5F" w:rsidRDefault="00D2245F" w:rsidP="00D2245F">
      <w:pPr>
        <w:spacing w:after="0" w:line="240" w:lineRule="auto"/>
      </w:pPr>
      <w:r>
        <w:separator/>
      </w:r>
    </w:p>
  </w:endnote>
  <w:endnote w:type="continuationSeparator" w:id="0">
    <w:p w:rsidR="00D2245F" w:rsidRDefault="00D2245F" w:rsidP="00D2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ora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5F" w:rsidRPr="003E4554" w:rsidRDefault="00D2245F" w:rsidP="00D2245F">
    <w:pPr>
      <w:pStyle w:val="Pidipagina"/>
      <w:jc w:val="center"/>
      <w:rPr>
        <w:rFonts w:ascii="Times New Roman" w:hAnsi="Times New Roman" w:cs="Times New Roman"/>
        <w:b/>
        <w:sz w:val="20"/>
      </w:rPr>
    </w:pPr>
    <w:r w:rsidRPr="003E4554">
      <w:rPr>
        <w:rFonts w:ascii="Times New Roman" w:hAnsi="Times New Roman" w:cs="Times New Roman"/>
        <w:b/>
        <w:sz w:val="20"/>
      </w:rPr>
      <w:t>40135 Bologna – Via Saragozza, 166 – Tel.051.6141269 – Fax 051.6142296</w:t>
    </w:r>
  </w:p>
  <w:p w:rsidR="00D2245F" w:rsidRPr="003E4554" w:rsidRDefault="00D2245F" w:rsidP="00D2245F">
    <w:pPr>
      <w:pStyle w:val="Pidipagina"/>
      <w:jc w:val="center"/>
      <w:rPr>
        <w:rFonts w:ascii="Times New Roman" w:hAnsi="Times New Roman" w:cs="Times New Roman"/>
        <w:b/>
        <w:lang w:val="fr-FR"/>
      </w:rPr>
    </w:pPr>
    <w:r>
      <w:rPr>
        <w:rFonts w:ascii="Times New Roman" w:hAnsi="Times New Roman" w:cs="Times New Roman"/>
        <w:b/>
        <w:sz w:val="20"/>
        <w:lang w:val="fr-FR"/>
      </w:rPr>
      <w:t>studio</w:t>
    </w:r>
    <w:r w:rsidRPr="003E4554">
      <w:rPr>
        <w:rFonts w:ascii="Times New Roman" w:hAnsi="Times New Roman" w:cs="Times New Roman"/>
        <w:b/>
        <w:sz w:val="20"/>
        <w:lang w:val="fr-FR"/>
      </w:rPr>
      <w:t>@calzolaricommercialisti.it</w:t>
    </w:r>
  </w:p>
  <w:p w:rsidR="00D2245F" w:rsidRDefault="00D2245F" w:rsidP="00D2245F">
    <w:pPr>
      <w:pStyle w:val="Pidipagina"/>
      <w:rPr>
        <w:lang w:val="fr-FR"/>
      </w:rPr>
    </w:pPr>
  </w:p>
  <w:p w:rsidR="00D2245F" w:rsidRPr="009D62AE" w:rsidRDefault="00D2245F" w:rsidP="00D2245F">
    <w:pPr>
      <w:pStyle w:val="Pidipagina"/>
      <w:rPr>
        <w:lang w:val="fr-FR"/>
      </w:rPr>
    </w:pPr>
  </w:p>
  <w:p w:rsidR="00D2245F" w:rsidRDefault="00D224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5F" w:rsidRDefault="00D2245F" w:rsidP="00D2245F">
      <w:pPr>
        <w:spacing w:after="0" w:line="240" w:lineRule="auto"/>
      </w:pPr>
      <w:r>
        <w:separator/>
      </w:r>
    </w:p>
  </w:footnote>
  <w:footnote w:type="continuationSeparator" w:id="0">
    <w:p w:rsidR="00D2245F" w:rsidRDefault="00D2245F" w:rsidP="00D2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5F" w:rsidRPr="003E4554" w:rsidRDefault="00D2245F" w:rsidP="00D2245F">
    <w:pPr>
      <w:pStyle w:val="Intestazione"/>
      <w:rPr>
        <w:rFonts w:ascii="Verdana" w:hAnsi="Verdana"/>
        <w:b/>
        <w:sz w:val="24"/>
        <w:szCs w:val="24"/>
      </w:rPr>
    </w:pPr>
    <w:proofErr w:type="gramStart"/>
    <w:r w:rsidRPr="003E4554">
      <w:rPr>
        <w:rFonts w:ascii="Verdana" w:hAnsi="Verdana"/>
        <w:b/>
        <w:sz w:val="24"/>
        <w:szCs w:val="24"/>
      </w:rPr>
      <w:t>studio</w:t>
    </w:r>
    <w:proofErr w:type="gramEnd"/>
    <w:r w:rsidRPr="003E4554">
      <w:rPr>
        <w:rFonts w:ascii="Verdana" w:hAnsi="Verdana"/>
        <w:b/>
        <w:sz w:val="24"/>
        <w:szCs w:val="24"/>
      </w:rPr>
      <w:t xml:space="preserve"> </w:t>
    </w:r>
    <w:proofErr w:type="spellStart"/>
    <w:r w:rsidRPr="003E4554">
      <w:rPr>
        <w:rFonts w:ascii="Verdana" w:hAnsi="Verdana"/>
        <w:b/>
        <w:sz w:val="24"/>
        <w:szCs w:val="24"/>
      </w:rPr>
      <w:t>calzolari</w:t>
    </w:r>
    <w:proofErr w:type="spellEnd"/>
  </w:p>
  <w:p w:rsidR="00D2245F" w:rsidRPr="003E4554" w:rsidRDefault="00D2245F" w:rsidP="00D2245F">
    <w:pPr>
      <w:pStyle w:val="Intestazione"/>
      <w:rPr>
        <w:rFonts w:ascii="Verdana" w:hAnsi="Verdana"/>
        <w:b/>
        <w:bCs/>
        <w:sz w:val="24"/>
        <w:szCs w:val="24"/>
      </w:rPr>
    </w:pPr>
    <w:proofErr w:type="gramStart"/>
    <w:r w:rsidRPr="003E4554">
      <w:rPr>
        <w:rFonts w:ascii="Verdana" w:hAnsi="Verdana"/>
        <w:b/>
        <w:bCs/>
        <w:sz w:val="24"/>
        <w:szCs w:val="24"/>
      </w:rPr>
      <w:t>dottori</w:t>
    </w:r>
    <w:proofErr w:type="gramEnd"/>
    <w:r w:rsidRPr="003E4554">
      <w:rPr>
        <w:rFonts w:ascii="Verdana" w:hAnsi="Verdana"/>
        <w:b/>
        <w:bCs/>
        <w:sz w:val="24"/>
        <w:szCs w:val="24"/>
      </w:rPr>
      <w:t xml:space="preserve"> commercialisti revisori contabili</w:t>
    </w:r>
  </w:p>
  <w:p w:rsidR="00D2245F" w:rsidRDefault="00D2245F" w:rsidP="00D2245F">
    <w:pPr>
      <w:pStyle w:val="Intestazione"/>
    </w:pPr>
    <w:r w:rsidRPr="003E4554">
      <w:rPr>
        <w:sz w:val="24"/>
        <w:szCs w:val="24"/>
      </w:rPr>
      <w:t>________________________________________________________________________________</w:t>
    </w:r>
  </w:p>
  <w:p w:rsidR="00D2245F" w:rsidRDefault="00D224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254C"/>
    <w:multiLevelType w:val="multilevel"/>
    <w:tmpl w:val="1AEC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F"/>
    <w:rsid w:val="0006717B"/>
    <w:rsid w:val="000C75FA"/>
    <w:rsid w:val="000D07E5"/>
    <w:rsid w:val="000D63A9"/>
    <w:rsid w:val="001A5E60"/>
    <w:rsid w:val="001B3A1A"/>
    <w:rsid w:val="001F0580"/>
    <w:rsid w:val="00216203"/>
    <w:rsid w:val="00232277"/>
    <w:rsid w:val="00253E02"/>
    <w:rsid w:val="002D11F6"/>
    <w:rsid w:val="00310084"/>
    <w:rsid w:val="003F09B1"/>
    <w:rsid w:val="0043410F"/>
    <w:rsid w:val="005B74CD"/>
    <w:rsid w:val="005D43FD"/>
    <w:rsid w:val="00684CEA"/>
    <w:rsid w:val="0069218C"/>
    <w:rsid w:val="006D1BE1"/>
    <w:rsid w:val="00704820"/>
    <w:rsid w:val="00724872"/>
    <w:rsid w:val="0076170F"/>
    <w:rsid w:val="007D142D"/>
    <w:rsid w:val="00A531B9"/>
    <w:rsid w:val="00A55AFC"/>
    <w:rsid w:val="00A62098"/>
    <w:rsid w:val="00A753EF"/>
    <w:rsid w:val="00AA6E7B"/>
    <w:rsid w:val="00AE6913"/>
    <w:rsid w:val="00B60544"/>
    <w:rsid w:val="00B70617"/>
    <w:rsid w:val="00B834C7"/>
    <w:rsid w:val="00BA44EA"/>
    <w:rsid w:val="00BB3295"/>
    <w:rsid w:val="00BD639C"/>
    <w:rsid w:val="00C01540"/>
    <w:rsid w:val="00C218A8"/>
    <w:rsid w:val="00C34724"/>
    <w:rsid w:val="00D2245F"/>
    <w:rsid w:val="00D459BF"/>
    <w:rsid w:val="00D90BE7"/>
    <w:rsid w:val="00DB0A32"/>
    <w:rsid w:val="00DB6C25"/>
    <w:rsid w:val="00DB7920"/>
    <w:rsid w:val="00DD75E6"/>
    <w:rsid w:val="00DF7500"/>
    <w:rsid w:val="00E34041"/>
    <w:rsid w:val="00E53F2B"/>
    <w:rsid w:val="00E96C34"/>
    <w:rsid w:val="00EB1BC9"/>
    <w:rsid w:val="00F37528"/>
    <w:rsid w:val="00F6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0B4DC-D7C2-4D84-8730-7F154731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D2245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59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22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45F"/>
  </w:style>
  <w:style w:type="paragraph" w:styleId="Pidipagina">
    <w:name w:val="footer"/>
    <w:basedOn w:val="Normale"/>
    <w:link w:val="PidipaginaCarattere"/>
    <w:uiPriority w:val="99"/>
    <w:unhideWhenUsed/>
    <w:rsid w:val="00D22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45F"/>
  </w:style>
  <w:style w:type="character" w:customStyle="1" w:styleId="Titolo2Carattere">
    <w:name w:val="Titolo 2 Carattere"/>
    <w:basedOn w:val="Carpredefinitoparagrafo"/>
    <w:link w:val="Titolo2"/>
    <w:rsid w:val="00D2245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1F05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F058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D459BF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59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D459BF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A6209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2018-09-20T16:18:00Z</dcterms:created>
  <dcterms:modified xsi:type="dcterms:W3CDTF">2018-09-20T16:20:00Z</dcterms:modified>
</cp:coreProperties>
</file>